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4A043" w14:textId="131DECAA" w:rsidR="00F451D1" w:rsidRPr="00F451D1" w:rsidRDefault="00F451D1" w:rsidP="00F451D1">
      <w:pPr>
        <w:spacing w:after="120"/>
        <w:ind w:left="1985" w:hanging="1985"/>
        <w:jc w:val="both"/>
        <w:rPr>
          <w:rFonts w:ascii="Arial" w:eastAsia="SimSun" w:hAnsi="Arial" w:cs="Arial"/>
          <w:b/>
          <w:sz w:val="24"/>
          <w:szCs w:val="24"/>
          <w:lang w:eastAsia="zh-CN"/>
        </w:rPr>
      </w:pPr>
      <w:r w:rsidRPr="00F451D1">
        <w:rPr>
          <w:rFonts w:ascii="Arial" w:eastAsia="SimSun" w:hAnsi="Arial" w:cs="Arial"/>
          <w:b/>
          <w:sz w:val="24"/>
          <w:szCs w:val="24"/>
          <w:lang w:eastAsia="zh-CN"/>
        </w:rPr>
        <w:t>3GPP TSG-RAN WG4 Meeting #112bis</w:t>
      </w:r>
      <w:r w:rsidRPr="00F451D1">
        <w:rPr>
          <w:rFonts w:ascii="Arial" w:eastAsia="SimSun" w:hAnsi="Arial" w:cs="Arial"/>
          <w:b/>
          <w:sz w:val="24"/>
          <w:szCs w:val="24"/>
          <w:lang w:eastAsia="zh-CN"/>
        </w:rPr>
        <w:tab/>
      </w:r>
      <w:r w:rsidRPr="00F451D1">
        <w:rPr>
          <w:rFonts w:ascii="Arial" w:eastAsia="SimSun" w:hAnsi="Arial" w:cs="Arial"/>
          <w:b/>
          <w:sz w:val="24"/>
          <w:szCs w:val="24"/>
          <w:lang w:eastAsia="zh-CN"/>
        </w:rPr>
        <w:tab/>
      </w:r>
      <w:r w:rsidRPr="00F451D1">
        <w:rPr>
          <w:rFonts w:ascii="Arial" w:eastAsia="SimSun" w:hAnsi="Arial" w:cs="Arial"/>
          <w:b/>
          <w:sz w:val="24"/>
          <w:szCs w:val="24"/>
          <w:lang w:eastAsia="zh-CN"/>
        </w:rPr>
        <w:tab/>
      </w:r>
      <w:r w:rsidRPr="00F451D1">
        <w:rPr>
          <w:rFonts w:ascii="Arial" w:eastAsia="SimSun" w:hAnsi="Arial" w:cs="Arial"/>
          <w:b/>
          <w:sz w:val="24"/>
          <w:szCs w:val="24"/>
          <w:lang w:eastAsia="zh-CN"/>
        </w:rPr>
        <w:tab/>
      </w:r>
      <w:r>
        <w:rPr>
          <w:rFonts w:ascii="Arial" w:eastAsia="SimSun" w:hAnsi="Arial" w:cs="Arial"/>
          <w:b/>
          <w:sz w:val="24"/>
          <w:szCs w:val="24"/>
          <w:lang w:eastAsia="zh-CN"/>
        </w:rPr>
        <w:t xml:space="preserve">                  </w:t>
      </w:r>
      <w:r w:rsidR="00095E30" w:rsidRPr="00095E30">
        <w:rPr>
          <w:rFonts w:ascii="Arial" w:eastAsia="SimSun" w:hAnsi="Arial" w:cs="Arial"/>
          <w:b/>
          <w:sz w:val="24"/>
          <w:szCs w:val="24"/>
          <w:lang w:eastAsia="zh-CN"/>
        </w:rPr>
        <w:t>R4-2415585</w:t>
      </w:r>
    </w:p>
    <w:p w14:paraId="356AA6B3" w14:textId="77777777" w:rsidR="00F451D1" w:rsidRDefault="00F451D1" w:rsidP="00F451D1">
      <w:pPr>
        <w:spacing w:after="120"/>
        <w:ind w:left="1985" w:hanging="1985"/>
        <w:jc w:val="both"/>
        <w:rPr>
          <w:rFonts w:ascii="Arial" w:eastAsia="SimSun" w:hAnsi="Arial" w:cs="Arial"/>
          <w:b/>
          <w:sz w:val="24"/>
          <w:szCs w:val="24"/>
          <w:lang w:eastAsia="zh-CN"/>
        </w:rPr>
      </w:pPr>
      <w:r w:rsidRPr="00F451D1">
        <w:rPr>
          <w:rFonts w:ascii="Arial" w:eastAsia="SimSun" w:hAnsi="Arial" w:cs="Arial"/>
          <w:b/>
          <w:sz w:val="24"/>
          <w:szCs w:val="24"/>
          <w:lang w:eastAsia="zh-CN"/>
        </w:rPr>
        <w:t xml:space="preserve">Hefei, Anhui, China, 14th – 18th </w:t>
      </w:r>
      <w:proofErr w:type="gramStart"/>
      <w:r w:rsidRPr="00F451D1">
        <w:rPr>
          <w:rFonts w:ascii="Arial" w:eastAsia="SimSun" w:hAnsi="Arial" w:cs="Arial"/>
          <w:b/>
          <w:sz w:val="24"/>
          <w:szCs w:val="24"/>
          <w:lang w:eastAsia="zh-CN"/>
        </w:rPr>
        <w:t>October,</w:t>
      </w:r>
      <w:proofErr w:type="gramEnd"/>
      <w:r w:rsidRPr="00F451D1">
        <w:rPr>
          <w:rFonts w:ascii="Arial" w:eastAsia="SimSun" w:hAnsi="Arial" w:cs="Arial"/>
          <w:b/>
          <w:sz w:val="24"/>
          <w:szCs w:val="24"/>
          <w:lang w:eastAsia="zh-CN"/>
        </w:rPr>
        <w:t xml:space="preserve"> 2024</w:t>
      </w:r>
    </w:p>
    <w:p w14:paraId="607D074B" w14:textId="4C7EBECD" w:rsidR="00DD0FC1" w:rsidRPr="00067882" w:rsidRDefault="00DD0FC1" w:rsidP="00F451D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D15F3F"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C79D1">
        <w:rPr>
          <w:rFonts w:ascii="Arial" w:hAnsi="Arial" w:cs="Arial"/>
          <w:sz w:val="21"/>
          <w:szCs w:val="21"/>
          <w:lang w:val="en-SE"/>
        </w:rPr>
        <w:t xml:space="preserve">HPUE </w:t>
      </w:r>
      <w:r w:rsidR="004F6BFF">
        <w:rPr>
          <w:rFonts w:ascii="Arial" w:hAnsi="Arial" w:cs="Arial"/>
          <w:sz w:val="21"/>
          <w:szCs w:val="21"/>
          <w:lang w:val="en-SE"/>
        </w:rPr>
        <w:t xml:space="preserve">Tx </w:t>
      </w:r>
      <w:r w:rsidR="008B026B">
        <w:rPr>
          <w:rFonts w:ascii="Arial" w:hAnsi="Arial" w:cs="Arial"/>
          <w:sz w:val="21"/>
          <w:szCs w:val="21"/>
          <w:lang w:val="en-SE"/>
        </w:rPr>
        <w:t>requirement</w:t>
      </w:r>
      <w:r w:rsidR="004F6BFF">
        <w:rPr>
          <w:rFonts w:ascii="Arial" w:hAnsi="Arial" w:cs="Arial"/>
          <w:sz w:val="21"/>
          <w:szCs w:val="21"/>
          <w:lang w:val="en-SE"/>
        </w:rPr>
        <w:t xml:space="preserve"> </w:t>
      </w:r>
      <w:r w:rsidR="00BE34B9">
        <w:rPr>
          <w:rFonts w:ascii="Arial" w:hAnsi="Arial" w:cs="Arial"/>
          <w:sz w:val="21"/>
          <w:szCs w:val="21"/>
          <w:lang w:val="en-SE"/>
        </w:rPr>
        <w:t>in IoT NTN</w:t>
      </w:r>
      <w:r w:rsidR="00E41F2A">
        <w:rPr>
          <w:rFonts w:ascii="Arial" w:hAnsi="Arial" w:cs="Arial"/>
          <w:sz w:val="21"/>
          <w:szCs w:val="21"/>
        </w:rPr>
        <w:t xml:space="preserve"> </w:t>
      </w:r>
    </w:p>
    <w:p w14:paraId="52393903" w14:textId="6F011123" w:rsidR="00DD0FC1" w:rsidRPr="00CC79D1" w:rsidRDefault="00DD0FC1" w:rsidP="008A35FC">
      <w:pPr>
        <w:spacing w:after="120"/>
        <w:ind w:left="1985" w:hanging="1985"/>
        <w:jc w:val="both"/>
        <w:rPr>
          <w:rFonts w:ascii="Arial" w:hAnsi="Arial" w:cs="Arial"/>
          <w:bCs/>
          <w:lang w:val="en-SE"/>
        </w:rPr>
      </w:pPr>
      <w:r w:rsidRPr="00540357">
        <w:rPr>
          <w:rFonts w:ascii="Arial" w:hAnsi="Arial" w:cs="Arial"/>
          <w:b/>
          <w:lang w:val="en-US"/>
        </w:rPr>
        <w:t>Agenda item:</w:t>
      </w:r>
      <w:r w:rsidRPr="00540357">
        <w:rPr>
          <w:rFonts w:ascii="Arial" w:hAnsi="Arial" w:cs="Arial"/>
          <w:b/>
          <w:lang w:val="en-US"/>
        </w:rPr>
        <w:tab/>
      </w:r>
      <w:r w:rsidR="003E2004">
        <w:rPr>
          <w:rFonts w:ascii="Arial" w:hAnsi="Arial" w:cs="Arial"/>
          <w:lang w:val="en-SE"/>
        </w:rPr>
        <w:t>6</w:t>
      </w:r>
      <w:r w:rsidR="00CC79D1">
        <w:rPr>
          <w:rFonts w:ascii="Arial" w:hAnsi="Arial" w:cs="Arial"/>
          <w:lang w:val="en-SE"/>
        </w:rPr>
        <w:t>.8.2.</w:t>
      </w:r>
      <w:r w:rsidR="00A366EE">
        <w:rPr>
          <w:rFonts w:ascii="Arial" w:hAnsi="Arial" w:cs="Arial"/>
          <w:lang w:val="en-SE"/>
        </w:rPr>
        <w:t>3</w:t>
      </w:r>
      <w:r w:rsidR="003E2004">
        <w:rPr>
          <w:rFonts w:ascii="Arial" w:hAnsi="Arial" w:cs="Arial"/>
          <w:lang w:val="en-SE"/>
        </w:rPr>
        <w:t>.1</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6076789" w14:textId="25D9E4DF" w:rsidR="00F6756D" w:rsidRDefault="0048525B" w:rsidP="008A35FC">
      <w:pPr>
        <w:jc w:val="both"/>
        <w:rPr>
          <w:iCs/>
          <w:lang w:val="en-SE"/>
        </w:rPr>
      </w:pPr>
      <w:r>
        <w:rPr>
          <w:iCs/>
          <w:lang w:val="en-US"/>
        </w:rPr>
        <w:t>In RAN</w:t>
      </w:r>
      <w:r w:rsidR="00B21ABA">
        <w:rPr>
          <w:iCs/>
          <w:lang w:val="en-SE"/>
        </w:rPr>
        <w:t xml:space="preserve">#103, </w:t>
      </w:r>
      <w:r w:rsidR="00DF3D50">
        <w:rPr>
          <w:iCs/>
          <w:lang w:val="en-SE"/>
        </w:rPr>
        <w:t>a n</w:t>
      </w:r>
      <w:proofErr w:type="spellStart"/>
      <w:r w:rsidR="00B21ABA" w:rsidRPr="00B21ABA">
        <w:rPr>
          <w:iCs/>
          <w:lang w:val="en-US"/>
        </w:rPr>
        <w:t>ew</w:t>
      </w:r>
      <w:proofErr w:type="spellEnd"/>
      <w:r w:rsidR="00B21ABA" w:rsidRPr="00B21ABA">
        <w:rPr>
          <w:iCs/>
          <w:lang w:val="en-US"/>
        </w:rPr>
        <w:t xml:space="preserve"> WID</w:t>
      </w:r>
      <w:r w:rsidR="00B00300">
        <w:rPr>
          <w:iCs/>
          <w:lang w:val="en-SE"/>
        </w:rPr>
        <w:t xml:space="preserve">: </w:t>
      </w:r>
      <w:r w:rsidR="00DF3D50">
        <w:rPr>
          <w:iCs/>
          <w:lang w:val="en-SE"/>
        </w:rPr>
        <w:t>e</w:t>
      </w:r>
      <w:proofErr w:type="spellStart"/>
      <w:r w:rsidR="00B21ABA" w:rsidRPr="00B21ABA">
        <w:rPr>
          <w:iCs/>
          <w:lang w:val="en-US"/>
        </w:rPr>
        <w:t>nhanced</w:t>
      </w:r>
      <w:proofErr w:type="spellEnd"/>
      <w:r w:rsidR="00B21ABA" w:rsidRPr="00B21ABA">
        <w:rPr>
          <w:iCs/>
          <w:lang w:val="en-US"/>
        </w:rPr>
        <w:t xml:space="preserve"> requirements and test methodology for NR and IoT NTN</w:t>
      </w:r>
      <w:r w:rsidR="009A5988">
        <w:rPr>
          <w:iCs/>
          <w:lang w:val="en-SE"/>
        </w:rPr>
        <w:t xml:space="preserve"> has been approved</w:t>
      </w:r>
      <w:r w:rsidR="00CF7B81">
        <w:rPr>
          <w:iCs/>
          <w:lang w:val="en-SE"/>
        </w:rPr>
        <w:t xml:space="preserve"> [</w:t>
      </w:r>
      <w:r w:rsidR="004F3B3B">
        <w:rPr>
          <w:iCs/>
          <w:lang w:val="en-SE"/>
        </w:rPr>
        <w:t>1</w:t>
      </w:r>
      <w:r w:rsidR="00CF7B81">
        <w:rPr>
          <w:iCs/>
          <w:lang w:val="en-SE"/>
        </w:rPr>
        <w:t>]</w:t>
      </w:r>
      <w:r w:rsidR="009A5988">
        <w:rPr>
          <w:iCs/>
          <w:lang w:val="en-SE"/>
        </w:rPr>
        <w:t xml:space="preserve">. </w:t>
      </w:r>
      <w:r w:rsidR="00CF7B81">
        <w:rPr>
          <w:iCs/>
          <w:lang w:val="en-SE"/>
        </w:rPr>
        <w:t xml:space="preserve">From core requirement, </w:t>
      </w:r>
      <w:r w:rsidR="00EB0BB3">
        <w:rPr>
          <w:iCs/>
          <w:lang w:val="en-SE"/>
        </w:rPr>
        <w:t xml:space="preserve">the </w:t>
      </w:r>
      <w:r w:rsidR="00B00300">
        <w:rPr>
          <w:iCs/>
          <w:lang w:val="en-SE"/>
        </w:rPr>
        <w:t xml:space="preserve">target of this WID </w:t>
      </w:r>
      <w:r w:rsidR="00791ADE">
        <w:rPr>
          <w:iCs/>
          <w:lang w:val="en-SE"/>
        </w:rPr>
        <w:t>is to support HPUE for both NR and IoT NTN</w:t>
      </w:r>
      <w:r w:rsidR="00484BA8">
        <w:rPr>
          <w:iCs/>
          <w:lang w:val="en-SE"/>
        </w:rPr>
        <w:t xml:space="preserve"> </w:t>
      </w:r>
      <w:proofErr w:type="gramStart"/>
      <w:r w:rsidR="00484BA8">
        <w:rPr>
          <w:iCs/>
          <w:lang w:val="en-SE"/>
        </w:rPr>
        <w:t>and also</w:t>
      </w:r>
      <w:proofErr w:type="gramEnd"/>
      <w:r w:rsidR="00484BA8">
        <w:rPr>
          <w:iCs/>
          <w:lang w:val="en-SE"/>
        </w:rPr>
        <w:t xml:space="preserve"> </w:t>
      </w:r>
      <w:r w:rsidR="00D172B1">
        <w:rPr>
          <w:iCs/>
          <w:lang w:val="en-SE"/>
        </w:rPr>
        <w:t>introduce the 3MHz channel BW</w:t>
      </w:r>
      <w:r w:rsidR="00484BA8">
        <w:rPr>
          <w:iCs/>
          <w:lang w:val="en-SE"/>
        </w:rPr>
        <w:t xml:space="preserve"> into </w:t>
      </w:r>
      <w:r w:rsidR="00EB0BB3">
        <w:rPr>
          <w:iCs/>
          <w:lang w:val="en-SE"/>
        </w:rPr>
        <w:t xml:space="preserve">the </w:t>
      </w:r>
      <w:r w:rsidR="00484BA8">
        <w:rPr>
          <w:iCs/>
          <w:lang w:val="en-SE"/>
        </w:rPr>
        <w:t>NTN system</w:t>
      </w:r>
      <w:r w:rsidR="00D172B1">
        <w:rPr>
          <w:iCs/>
          <w:lang w:val="en-SE"/>
        </w:rPr>
        <w:t xml:space="preserve">. </w:t>
      </w:r>
    </w:p>
    <w:p w14:paraId="1625FC12" w14:textId="0A547878" w:rsidR="00444C61" w:rsidRPr="00FC1AA0" w:rsidRDefault="00C71AE0" w:rsidP="008A35FC">
      <w:pPr>
        <w:jc w:val="both"/>
        <w:rPr>
          <w:iCs/>
          <w:lang w:val="en-SE"/>
        </w:rPr>
      </w:pPr>
      <w:r>
        <w:rPr>
          <w:iCs/>
          <w:lang w:val="en-SE"/>
        </w:rPr>
        <w:t xml:space="preserve">Supporting HPUE was discussed in RAN4#112, where </w:t>
      </w:r>
      <w:r w:rsidR="009F66CD">
        <w:rPr>
          <w:iCs/>
          <w:lang w:val="en-SE"/>
        </w:rPr>
        <w:t xml:space="preserve">the agreements are captured in </w:t>
      </w:r>
      <w:r w:rsidR="00486C96">
        <w:rPr>
          <w:iCs/>
          <w:lang w:val="en-SE"/>
        </w:rPr>
        <w:t xml:space="preserve">[2]. </w:t>
      </w:r>
      <w:r w:rsidR="00D172B1">
        <w:rPr>
          <w:iCs/>
          <w:lang w:val="en-SE"/>
        </w:rPr>
        <w:t>In this contribution</w:t>
      </w:r>
      <w:r w:rsidR="00EB0BB3">
        <w:rPr>
          <w:iCs/>
          <w:lang w:val="en-SE"/>
        </w:rPr>
        <w:t>,</w:t>
      </w:r>
      <w:r w:rsidR="00D172B1">
        <w:rPr>
          <w:iCs/>
          <w:lang w:val="en-SE"/>
        </w:rPr>
        <w:t xml:space="preserve"> we </w:t>
      </w:r>
      <w:r w:rsidR="00486C96">
        <w:rPr>
          <w:iCs/>
          <w:lang w:val="en-SE"/>
        </w:rPr>
        <w:t xml:space="preserve">further </w:t>
      </w:r>
      <w:r w:rsidR="00F6756D">
        <w:rPr>
          <w:iCs/>
          <w:lang w:val="en-SE"/>
        </w:rPr>
        <w:t xml:space="preserve">express our views </w:t>
      </w:r>
      <w:r w:rsidR="00720CBE">
        <w:rPr>
          <w:iCs/>
          <w:lang w:val="en-SE"/>
        </w:rPr>
        <w:t xml:space="preserve">regarding </w:t>
      </w:r>
      <w:r w:rsidR="00FC1AA0">
        <w:rPr>
          <w:iCs/>
          <w:lang w:val="en-SE"/>
        </w:rPr>
        <w:t xml:space="preserve">the </w:t>
      </w:r>
      <w:r w:rsidR="00720CBE">
        <w:rPr>
          <w:iCs/>
          <w:lang w:val="en-SE"/>
        </w:rPr>
        <w:t xml:space="preserve">HPUE </w:t>
      </w:r>
      <w:r w:rsidR="00FC1AA0">
        <w:rPr>
          <w:iCs/>
          <w:lang w:val="en-SE"/>
        </w:rPr>
        <w:t>in</w:t>
      </w:r>
      <w:r w:rsidR="00A90363">
        <w:rPr>
          <w:iCs/>
          <w:lang w:val="en-SE"/>
        </w:rPr>
        <w:t xml:space="preserve"> IoT NTN </w:t>
      </w:r>
      <w:r w:rsidR="00FC1AA0">
        <w:rPr>
          <w:iCs/>
          <w:lang w:val="en-SE"/>
        </w:rPr>
        <w:t>system</w:t>
      </w:r>
      <w:r w:rsidR="00486C96">
        <w:rPr>
          <w:iCs/>
          <w:lang w:val="en-SE"/>
        </w:rPr>
        <w:t xml:space="preserve"> based on those agreements</w:t>
      </w:r>
      <w:r w:rsidR="00FC1AA0">
        <w:rPr>
          <w:iCs/>
          <w:lang w:val="en-SE"/>
        </w:rPr>
        <w:t xml:space="preserve">. </w:t>
      </w:r>
    </w:p>
    <w:p w14:paraId="5343CE78" w14:textId="77777777" w:rsidR="00740D7E" w:rsidRPr="00740D7E" w:rsidRDefault="00740D7E" w:rsidP="008A35FC">
      <w:pPr>
        <w:pBdr>
          <w:bottom w:val="single" w:sz="4" w:space="0" w:color="auto"/>
        </w:pBdr>
        <w:jc w:val="both"/>
        <w:rPr>
          <w:iCs/>
        </w:rPr>
      </w:pPr>
    </w:p>
    <w:p w14:paraId="5C803894" w14:textId="04A950FD" w:rsidR="00C06A78" w:rsidRDefault="00A65B4F" w:rsidP="00C06A78">
      <w:pPr>
        <w:pStyle w:val="Heading1"/>
        <w:numPr>
          <w:ilvl w:val="0"/>
          <w:numId w:val="8"/>
        </w:numPr>
        <w:jc w:val="both"/>
        <w:rPr>
          <w:bCs/>
          <w:lang w:val="en-SE"/>
        </w:rPr>
      </w:pPr>
      <w:bookmarkStart w:id="0" w:name="_Hlk8895418"/>
      <w:r w:rsidRPr="00A65B4F">
        <w:rPr>
          <w:bCs/>
          <w:lang w:val="en-SE"/>
        </w:rPr>
        <w:t>HPUE Architecture</w:t>
      </w:r>
      <w:r w:rsidR="00194516">
        <w:rPr>
          <w:bCs/>
          <w:lang w:val="en-SE"/>
        </w:rPr>
        <w:t xml:space="preserve"> for IoT NTN </w:t>
      </w:r>
    </w:p>
    <w:p w14:paraId="3E075D5B" w14:textId="075E59A7" w:rsidR="00C06A78" w:rsidRPr="00C06A78" w:rsidRDefault="00A65B4F" w:rsidP="00C06A78">
      <w:pPr>
        <w:pStyle w:val="BodyText"/>
        <w:rPr>
          <w:lang w:val="en-SE"/>
        </w:rPr>
      </w:pPr>
      <w:r>
        <w:rPr>
          <w:lang w:val="en-SE"/>
        </w:rPr>
        <w:t>For the UPUE architecture, the following agreement has been made</w:t>
      </w:r>
      <w:r w:rsidR="009F66CD">
        <w:rPr>
          <w:lang w:val="en-SE"/>
        </w:rPr>
        <w:t xml:space="preserve"> [2]</w:t>
      </w:r>
      <w:r>
        <w:rPr>
          <w:lang w:val="en-SE"/>
        </w:rPr>
        <w:t xml:space="preserve">: </w:t>
      </w:r>
    </w:p>
    <w:p w14:paraId="618F0B50" w14:textId="77777777" w:rsidR="009F66CD" w:rsidRPr="006625E1" w:rsidRDefault="009F66CD" w:rsidP="009F66CD">
      <w:pPr>
        <w:pStyle w:val="ListParagraph"/>
        <w:numPr>
          <w:ilvl w:val="0"/>
          <w:numId w:val="12"/>
        </w:numPr>
        <w:overflowPunct/>
        <w:autoSpaceDE/>
        <w:autoSpaceDN/>
        <w:adjustRightInd/>
        <w:spacing w:after="120" w:line="256" w:lineRule="auto"/>
        <w:ind w:left="720"/>
        <w:contextualSpacing w:val="0"/>
        <w:textAlignment w:val="auto"/>
        <w:rPr>
          <w:rFonts w:eastAsia="SimSun"/>
          <w:b/>
          <w:i/>
          <w:iCs/>
          <w:szCs w:val="24"/>
          <w:lang w:eastAsia="zh-CN"/>
        </w:rPr>
      </w:pPr>
      <w:r w:rsidRPr="006625E1">
        <w:rPr>
          <w:rFonts w:eastAsia="SimSun"/>
          <w:b/>
          <w:i/>
          <w:iCs/>
          <w:szCs w:val="24"/>
        </w:rPr>
        <w:t>Agreement:</w:t>
      </w:r>
    </w:p>
    <w:p w14:paraId="47B1DC92" w14:textId="77777777" w:rsidR="009F66CD" w:rsidRPr="006625E1" w:rsidRDefault="009F66CD" w:rsidP="009F66CD">
      <w:pPr>
        <w:pStyle w:val="ListParagraph"/>
        <w:numPr>
          <w:ilvl w:val="1"/>
          <w:numId w:val="12"/>
        </w:numPr>
        <w:overflowPunct/>
        <w:autoSpaceDE/>
        <w:autoSpaceDN/>
        <w:adjustRightInd/>
        <w:spacing w:after="120" w:line="256" w:lineRule="auto"/>
        <w:ind w:left="1440"/>
        <w:contextualSpacing w:val="0"/>
        <w:textAlignment w:val="auto"/>
        <w:rPr>
          <w:rFonts w:eastAsia="SimSun"/>
          <w:i/>
          <w:iCs/>
          <w:szCs w:val="24"/>
        </w:rPr>
      </w:pPr>
      <w:r w:rsidRPr="006625E1">
        <w:rPr>
          <w:rFonts w:eastAsia="SimSun"/>
          <w:i/>
          <w:iCs/>
          <w:szCs w:val="24"/>
        </w:rPr>
        <w:t>For PC2 (NR NTN), 1 Tx and 2 Tx, are to be considered for requirements.</w:t>
      </w:r>
    </w:p>
    <w:p w14:paraId="0D67A515" w14:textId="77777777" w:rsidR="009F66CD" w:rsidRPr="006625E1" w:rsidRDefault="009F66CD" w:rsidP="009F66CD">
      <w:pPr>
        <w:pStyle w:val="ListParagraph"/>
        <w:numPr>
          <w:ilvl w:val="1"/>
          <w:numId w:val="12"/>
        </w:numPr>
        <w:overflowPunct/>
        <w:autoSpaceDE/>
        <w:autoSpaceDN/>
        <w:adjustRightInd/>
        <w:spacing w:after="120" w:line="256" w:lineRule="auto"/>
        <w:ind w:left="1440"/>
        <w:contextualSpacing w:val="0"/>
        <w:textAlignment w:val="auto"/>
        <w:rPr>
          <w:rFonts w:eastAsia="SimSun"/>
          <w:i/>
          <w:iCs/>
          <w:szCs w:val="24"/>
        </w:rPr>
      </w:pPr>
      <w:r w:rsidRPr="006625E1">
        <w:rPr>
          <w:rFonts w:eastAsia="SimSun"/>
          <w:i/>
          <w:iCs/>
          <w:szCs w:val="24"/>
        </w:rPr>
        <w:t xml:space="preserve">For PC2 IoT NTN, at least 1Tx shall be </w:t>
      </w:r>
      <w:proofErr w:type="gramStart"/>
      <w:r w:rsidRPr="006625E1">
        <w:rPr>
          <w:rFonts w:eastAsia="SimSun"/>
          <w:i/>
          <w:iCs/>
          <w:szCs w:val="24"/>
        </w:rPr>
        <w:t>considered</w:t>
      </w:r>
      <w:proofErr w:type="gramEnd"/>
      <w:r w:rsidRPr="006625E1">
        <w:rPr>
          <w:rFonts w:eastAsia="SimSun"/>
          <w:i/>
          <w:iCs/>
          <w:szCs w:val="24"/>
        </w:rPr>
        <w:t xml:space="preserve"> </w:t>
      </w:r>
    </w:p>
    <w:p w14:paraId="5C34DA83" w14:textId="77777777" w:rsidR="009F66CD" w:rsidRPr="006625E1" w:rsidRDefault="009F66CD" w:rsidP="009F66CD">
      <w:pPr>
        <w:pStyle w:val="ListParagraph"/>
        <w:numPr>
          <w:ilvl w:val="1"/>
          <w:numId w:val="12"/>
        </w:numPr>
        <w:overflowPunct/>
        <w:autoSpaceDE/>
        <w:autoSpaceDN/>
        <w:adjustRightInd/>
        <w:spacing w:after="120" w:line="256" w:lineRule="auto"/>
        <w:ind w:left="1440"/>
        <w:contextualSpacing w:val="0"/>
        <w:textAlignment w:val="auto"/>
        <w:rPr>
          <w:rFonts w:eastAsia="SimSun"/>
          <w:i/>
          <w:iCs/>
          <w:szCs w:val="24"/>
        </w:rPr>
      </w:pPr>
      <w:r w:rsidRPr="006625E1">
        <w:rPr>
          <w:rFonts w:eastAsia="SimSun"/>
          <w:i/>
          <w:iCs/>
          <w:szCs w:val="24"/>
        </w:rPr>
        <w:t>For other PCs (both IoT NTN and NR NTN), FFS</w:t>
      </w:r>
    </w:p>
    <w:p w14:paraId="433F91C2" w14:textId="0F329064" w:rsidR="00712348" w:rsidRDefault="005B026D" w:rsidP="005B026D">
      <w:pPr>
        <w:jc w:val="both"/>
        <w:rPr>
          <w:bCs/>
        </w:rPr>
      </w:pPr>
      <w:r>
        <w:rPr>
          <w:bCs/>
        </w:rPr>
        <w:t xml:space="preserve">Currently, only single Tx has been </w:t>
      </w:r>
      <w:r w:rsidR="004A1200">
        <w:rPr>
          <w:bCs/>
        </w:rPr>
        <w:t xml:space="preserve">considered for </w:t>
      </w:r>
      <w:r w:rsidR="008C3B96">
        <w:rPr>
          <w:bCs/>
        </w:rPr>
        <w:t xml:space="preserve">legacy </w:t>
      </w:r>
      <w:r w:rsidR="006625E1">
        <w:rPr>
          <w:bCs/>
        </w:rPr>
        <w:t>IoT devices</w:t>
      </w:r>
      <w:r w:rsidR="008C3B96">
        <w:rPr>
          <w:bCs/>
        </w:rPr>
        <w:t>. T</w:t>
      </w:r>
      <w:r w:rsidR="00194516">
        <w:rPr>
          <w:bCs/>
        </w:rPr>
        <w:t xml:space="preserve">herefore, </w:t>
      </w:r>
      <w:r w:rsidR="00712348">
        <w:rPr>
          <w:bCs/>
        </w:rPr>
        <w:t>it is reasonable to prioritize the single Tx a</w:t>
      </w:r>
      <w:r w:rsidR="00712348" w:rsidRPr="00712348">
        <w:rPr>
          <w:bCs/>
        </w:rPr>
        <w:t xml:space="preserve">rchitecture </w:t>
      </w:r>
      <w:r w:rsidR="00712348">
        <w:rPr>
          <w:bCs/>
        </w:rPr>
        <w:t>to define the core requirement for PC2 as well, which will minimize the impact on the RF implementation of IoT device</w:t>
      </w:r>
      <w:r w:rsidR="008C3B96">
        <w:rPr>
          <w:bCs/>
        </w:rPr>
        <w:t>s</w:t>
      </w:r>
      <w:r w:rsidR="00712348">
        <w:rPr>
          <w:bCs/>
        </w:rPr>
        <w:t>.</w:t>
      </w:r>
      <w:r w:rsidR="005A6649">
        <w:rPr>
          <w:bCs/>
        </w:rPr>
        <w:t xml:space="preserve"> </w:t>
      </w:r>
      <w:r w:rsidR="00712348">
        <w:rPr>
          <w:bCs/>
        </w:rPr>
        <w:t xml:space="preserve">However, 2Tx </w:t>
      </w:r>
      <w:r w:rsidR="005A6649">
        <w:rPr>
          <w:bCs/>
        </w:rPr>
        <w:t>can</w:t>
      </w:r>
      <w:r w:rsidR="00712348">
        <w:rPr>
          <w:bCs/>
        </w:rPr>
        <w:t xml:space="preserve"> still be studied in parallel</w:t>
      </w:r>
      <w:r w:rsidR="008C3B96">
        <w:rPr>
          <w:bCs/>
        </w:rPr>
        <w:t xml:space="preserve"> so that RAN4 can check its feasibility for use</w:t>
      </w:r>
      <w:r w:rsidR="005A6649">
        <w:rPr>
          <w:bCs/>
        </w:rPr>
        <w:t xml:space="preserve"> in IoT devices. </w:t>
      </w:r>
    </w:p>
    <w:p w14:paraId="103BF9E1" w14:textId="24151F08" w:rsidR="00126487" w:rsidRPr="009B6D8F" w:rsidRDefault="00126487" w:rsidP="005B026D">
      <w:pPr>
        <w:jc w:val="both"/>
        <w:rPr>
          <w:b/>
        </w:rPr>
      </w:pPr>
      <w:r w:rsidRPr="009B6D8F">
        <w:rPr>
          <w:b/>
        </w:rPr>
        <w:t xml:space="preserve">Proposal 1: RAN4 can focus on the single Tx architecture for PC2 IoT NTN but further study the feasibility of 2Tx </w:t>
      </w:r>
      <w:r w:rsidR="009B6D8F" w:rsidRPr="009B6D8F">
        <w:rPr>
          <w:b/>
        </w:rPr>
        <w:t xml:space="preserve">architecture. </w:t>
      </w:r>
    </w:p>
    <w:p w14:paraId="6B54B7A5" w14:textId="4E9C3027" w:rsidR="00C41D82" w:rsidRPr="00EF39C4" w:rsidRDefault="003F031D" w:rsidP="008A35FC">
      <w:pPr>
        <w:pStyle w:val="Heading1"/>
        <w:numPr>
          <w:ilvl w:val="0"/>
          <w:numId w:val="8"/>
        </w:numPr>
        <w:jc w:val="both"/>
        <w:rPr>
          <w:bCs/>
          <w:lang w:val="en-US"/>
        </w:rPr>
      </w:pPr>
      <w:r>
        <w:rPr>
          <w:bCs/>
          <w:lang w:val="en-SE"/>
        </w:rPr>
        <w:t xml:space="preserve">A-MPR and </w:t>
      </w:r>
      <w:r w:rsidR="00C06A78">
        <w:rPr>
          <w:bCs/>
          <w:lang w:val="en-SE"/>
        </w:rPr>
        <w:t>Emission limit</w:t>
      </w:r>
      <w:r w:rsidR="00194516">
        <w:rPr>
          <w:bCs/>
          <w:lang w:val="en-SE"/>
        </w:rPr>
        <w:t xml:space="preserve"> for IoT NTN</w:t>
      </w:r>
    </w:p>
    <w:p w14:paraId="627EFDEE" w14:textId="7317EC6B" w:rsidR="00C25D1C" w:rsidRDefault="008054A8" w:rsidP="004723A7">
      <w:pPr>
        <w:pStyle w:val="BodyText"/>
        <w:jc w:val="both"/>
        <w:rPr>
          <w:lang w:val="en-SE"/>
        </w:rPr>
      </w:pPr>
      <w:r>
        <w:rPr>
          <w:lang w:val="en-SE"/>
        </w:rPr>
        <w:t xml:space="preserve">Unlike NR </w:t>
      </w:r>
      <w:proofErr w:type="spellStart"/>
      <w:r>
        <w:rPr>
          <w:lang w:val="en-SE"/>
        </w:rPr>
        <w:t>UEs</w:t>
      </w:r>
      <w:proofErr w:type="spellEnd"/>
      <w:r>
        <w:rPr>
          <w:lang w:val="en-SE"/>
        </w:rPr>
        <w:t>, no HPUE is</w:t>
      </w:r>
      <w:r w:rsidR="00931E6D" w:rsidRPr="00333CD2">
        <w:rPr>
          <w:lang w:val="en-SE"/>
        </w:rPr>
        <w:t xml:space="preserve"> defined for </w:t>
      </w:r>
      <w:proofErr w:type="spellStart"/>
      <w:r w:rsidR="00931E6D" w:rsidRPr="00333CD2">
        <w:rPr>
          <w:lang w:val="en-SE"/>
        </w:rPr>
        <w:t>eMTC</w:t>
      </w:r>
      <w:proofErr w:type="spellEnd"/>
      <w:r w:rsidR="00931E6D" w:rsidRPr="00333CD2">
        <w:rPr>
          <w:lang w:val="en-SE"/>
        </w:rPr>
        <w:t xml:space="preserve"> and NB-IoT. Therefore, there is a lack of </w:t>
      </w:r>
      <w:r>
        <w:rPr>
          <w:lang w:val="en-SE"/>
        </w:rPr>
        <w:t>HPUE TN requirements as a reference for</w:t>
      </w:r>
      <w:r w:rsidR="00711599" w:rsidRPr="00333CD2">
        <w:rPr>
          <w:lang w:val="en-SE"/>
        </w:rPr>
        <w:t xml:space="preserve"> IoT NTN</w:t>
      </w:r>
      <w:r>
        <w:rPr>
          <w:lang w:val="en-SE"/>
        </w:rPr>
        <w:t xml:space="preserve">, and </w:t>
      </w:r>
      <w:r w:rsidR="00F30785" w:rsidRPr="00333CD2">
        <w:rPr>
          <w:lang w:val="en-SE"/>
        </w:rPr>
        <w:t>the corresponding MPR and AMPR values of the HPUE need to be re-evaluated based on</w:t>
      </w:r>
      <w:r w:rsidR="00333CD2">
        <w:rPr>
          <w:lang w:val="en-SE"/>
        </w:rPr>
        <w:t xml:space="preserve"> reasonable</w:t>
      </w:r>
      <w:r w:rsidR="00F30785" w:rsidRPr="00333CD2">
        <w:rPr>
          <w:lang w:val="en-SE"/>
        </w:rPr>
        <w:t xml:space="preserve"> implementations of IoT devices. </w:t>
      </w:r>
    </w:p>
    <w:p w14:paraId="5A9AEDD4" w14:textId="6D35553C" w:rsidR="008054A8" w:rsidRPr="008054A8" w:rsidRDefault="008054A8" w:rsidP="004723A7">
      <w:pPr>
        <w:pStyle w:val="BodyText"/>
        <w:jc w:val="both"/>
        <w:rPr>
          <w:b/>
          <w:bCs/>
          <w:lang w:val="en-SE"/>
        </w:rPr>
      </w:pPr>
      <w:r w:rsidRPr="008054A8">
        <w:rPr>
          <w:b/>
          <w:bCs/>
          <w:lang w:val="en-SE"/>
        </w:rPr>
        <w:t xml:space="preserve">Observation 1: </w:t>
      </w:r>
      <w:r w:rsidR="0065092C">
        <w:rPr>
          <w:b/>
          <w:bCs/>
          <w:lang w:val="en-SE"/>
        </w:rPr>
        <w:t>D</w:t>
      </w:r>
      <w:r w:rsidRPr="008054A8">
        <w:rPr>
          <w:b/>
          <w:bCs/>
          <w:lang w:val="en-SE"/>
        </w:rPr>
        <w:t xml:space="preserve">ue to the lack of TN requirement as a reference, the MPR and AMPR values of the HPUE need to be re-evaluated based on reasonable implementations of IoT devices. </w:t>
      </w:r>
    </w:p>
    <w:p w14:paraId="69669FDB" w14:textId="7788CE95" w:rsidR="0065092C" w:rsidRDefault="00D70BFA" w:rsidP="004723A7">
      <w:pPr>
        <w:pStyle w:val="BodyText"/>
        <w:jc w:val="both"/>
        <w:rPr>
          <w:lang w:val="en-SE"/>
        </w:rPr>
      </w:pPr>
      <w:r>
        <w:rPr>
          <w:lang w:val="en-SE"/>
        </w:rPr>
        <w:t>A</w:t>
      </w:r>
      <w:r w:rsidR="00333CD2">
        <w:rPr>
          <w:lang w:val="en-SE"/>
        </w:rPr>
        <w:t xml:space="preserve">nother critical aspect </w:t>
      </w:r>
      <w:r>
        <w:rPr>
          <w:lang w:val="en-SE"/>
        </w:rPr>
        <w:t>of</w:t>
      </w:r>
      <w:r w:rsidR="00333CD2">
        <w:rPr>
          <w:lang w:val="en-SE"/>
        </w:rPr>
        <w:t xml:space="preserve"> </w:t>
      </w:r>
      <w:r w:rsidR="000D6F39">
        <w:rPr>
          <w:lang w:val="en-SE"/>
        </w:rPr>
        <w:t>IoT NTN</w:t>
      </w:r>
      <w:r w:rsidR="008054A8">
        <w:rPr>
          <w:lang w:val="en-SE"/>
        </w:rPr>
        <w:t>, which has already been encountered even for PC3, is to meet several ETSI emission limits</w:t>
      </w:r>
      <w:r w:rsidRPr="00176309">
        <w:rPr>
          <w:lang w:val="en-SE"/>
        </w:rPr>
        <w:t>.</w:t>
      </w:r>
      <w:r w:rsidR="008054A8">
        <w:rPr>
          <w:lang w:val="en-SE"/>
        </w:rPr>
        <w:t xml:space="preserve"> </w:t>
      </w:r>
      <w:r w:rsidRPr="00176309">
        <w:rPr>
          <w:lang w:val="en-SE"/>
        </w:rPr>
        <w:t>A</w:t>
      </w:r>
      <w:r w:rsidR="008054A8">
        <w:rPr>
          <w:lang w:val="en-SE"/>
        </w:rPr>
        <w:t xml:space="preserve"> couple</w:t>
      </w:r>
      <w:r>
        <w:rPr>
          <w:lang w:val="en-SE"/>
        </w:rPr>
        <w:t xml:space="preserve"> of</w:t>
      </w:r>
      <w:r w:rsidR="008054A8">
        <w:rPr>
          <w:lang w:val="en-SE"/>
        </w:rPr>
        <w:t xml:space="preserve"> </w:t>
      </w:r>
      <w:r w:rsidRPr="00176309">
        <w:rPr>
          <w:lang w:val="en-SE"/>
        </w:rPr>
        <w:t>problematic</w:t>
      </w:r>
      <w:r w:rsidR="008054A8">
        <w:rPr>
          <w:lang w:val="en-SE"/>
        </w:rPr>
        <w:t xml:space="preserve"> scenarios have been illustrated</w:t>
      </w:r>
      <w:r w:rsidR="00D61738">
        <w:rPr>
          <w:lang w:val="en-SE"/>
        </w:rPr>
        <w:t xml:space="preserve"> in Fig.</w:t>
      </w:r>
      <w:r w:rsidR="005D382D" w:rsidRPr="00176309">
        <w:rPr>
          <w:lang w:val="en-SE"/>
        </w:rPr>
        <w:t>1</w:t>
      </w:r>
      <w:r w:rsidR="00D61738">
        <w:rPr>
          <w:lang w:val="en-SE"/>
        </w:rPr>
        <w:t xml:space="preserve"> and Fig. </w:t>
      </w:r>
      <w:r w:rsidR="005D382D" w:rsidRPr="00176309">
        <w:rPr>
          <w:lang w:val="en-SE"/>
        </w:rPr>
        <w:t>2</w:t>
      </w:r>
      <w:r w:rsidR="00D61738">
        <w:rPr>
          <w:lang w:val="en-SE"/>
        </w:rPr>
        <w:t xml:space="preserve"> for b255 and b25</w:t>
      </w:r>
      <w:r w:rsidR="00EA1E1D">
        <w:rPr>
          <w:lang w:val="en-SE"/>
        </w:rPr>
        <w:t>4</w:t>
      </w:r>
      <w:r w:rsidR="005D382D" w:rsidRPr="00176309">
        <w:rPr>
          <w:lang w:val="en-SE"/>
        </w:rPr>
        <w:t xml:space="preserve"> for PC3</w:t>
      </w:r>
      <w:r w:rsidR="00D61738">
        <w:rPr>
          <w:lang w:val="en-SE"/>
        </w:rPr>
        <w:t xml:space="preserve">, respectively. It can be expected that those scenarios will be even more challenging for </w:t>
      </w:r>
      <w:proofErr w:type="spellStart"/>
      <w:r w:rsidR="00D61738">
        <w:rPr>
          <w:lang w:val="en-SE"/>
        </w:rPr>
        <w:t>HPUEs</w:t>
      </w:r>
      <w:proofErr w:type="spellEnd"/>
      <w:r w:rsidR="00D61738">
        <w:rPr>
          <w:lang w:val="en-SE"/>
        </w:rPr>
        <w:t xml:space="preserve">. </w:t>
      </w:r>
      <w:r w:rsidR="00C37D19">
        <w:rPr>
          <w:lang w:val="en-SE"/>
        </w:rPr>
        <w:t xml:space="preserve">For </w:t>
      </w:r>
      <w:r>
        <w:rPr>
          <w:lang w:val="en-SE"/>
        </w:rPr>
        <w:t xml:space="preserve">the </w:t>
      </w:r>
      <w:r w:rsidR="00C37D19">
        <w:rPr>
          <w:lang w:val="en-SE"/>
        </w:rPr>
        <w:t>ou</w:t>
      </w:r>
      <w:r w:rsidR="008054A8" w:rsidRPr="00176309">
        <w:rPr>
          <w:lang w:val="en-SE"/>
        </w:rPr>
        <w:t>t-</w:t>
      </w:r>
      <w:r w:rsidR="00C37D19">
        <w:rPr>
          <w:lang w:val="en-SE"/>
        </w:rPr>
        <w:t>of</w:t>
      </w:r>
      <w:r w:rsidR="008054A8">
        <w:rPr>
          <w:lang w:val="en-SE"/>
        </w:rPr>
        <w:t>-</w:t>
      </w:r>
      <w:r w:rsidR="00C37D19">
        <w:rPr>
          <w:lang w:val="en-SE"/>
        </w:rPr>
        <w:t xml:space="preserve">band emission limit, </w:t>
      </w:r>
      <w:r>
        <w:rPr>
          <w:lang w:val="en-SE"/>
        </w:rPr>
        <w:t xml:space="preserve">a </w:t>
      </w:r>
      <w:r w:rsidR="00B00C8E">
        <w:rPr>
          <w:lang w:val="en-SE"/>
        </w:rPr>
        <w:t>guard band</w:t>
      </w:r>
      <w:r w:rsidR="00C37D19">
        <w:rPr>
          <w:lang w:val="en-SE"/>
        </w:rPr>
        <w:t xml:space="preserve"> </w:t>
      </w:r>
      <w:r w:rsidR="00B00C8E">
        <w:rPr>
          <w:lang w:val="en-SE"/>
        </w:rPr>
        <w:t>on the edge of the band might be helpful</w:t>
      </w:r>
      <w:r w:rsidR="00946215">
        <w:rPr>
          <w:lang w:val="en-SE"/>
        </w:rPr>
        <w:t>. F</w:t>
      </w:r>
      <w:r w:rsidR="00176309" w:rsidRPr="00176309">
        <w:rPr>
          <w:lang w:val="en-SE"/>
        </w:rPr>
        <w:t xml:space="preserve">or example, around 200 kHz </w:t>
      </w:r>
      <w:r w:rsidR="00310F37" w:rsidRPr="00176309">
        <w:rPr>
          <w:lang w:val="en-SE"/>
        </w:rPr>
        <w:t>guard band</w:t>
      </w:r>
      <w:r w:rsidR="00176309" w:rsidRPr="00176309">
        <w:rPr>
          <w:lang w:val="en-SE"/>
        </w:rPr>
        <w:t xml:space="preserve"> is needed for b255 to meet the OOB emission limit from ETSI EN 301</w:t>
      </w:r>
      <w:r w:rsidR="003D01E8">
        <w:rPr>
          <w:lang w:val="en-SE"/>
        </w:rPr>
        <w:t> </w:t>
      </w:r>
      <w:r w:rsidR="00176309" w:rsidRPr="00176309">
        <w:rPr>
          <w:lang w:val="en-SE"/>
        </w:rPr>
        <w:t>681</w:t>
      </w:r>
      <w:r w:rsidR="00946215">
        <w:rPr>
          <w:lang w:val="en-SE"/>
        </w:rPr>
        <w:t>,</w:t>
      </w:r>
      <w:r w:rsidR="003D01E8">
        <w:rPr>
          <w:lang w:val="en-SE"/>
        </w:rPr>
        <w:t xml:space="preserve"> as shown in Fig. 1</w:t>
      </w:r>
      <w:r w:rsidR="00176309" w:rsidRPr="00176309">
        <w:rPr>
          <w:lang w:val="en-SE"/>
        </w:rPr>
        <w:t xml:space="preserve">. </w:t>
      </w:r>
      <w:r w:rsidR="0039207C">
        <w:rPr>
          <w:lang w:val="en-SE"/>
        </w:rPr>
        <w:t>However,</w:t>
      </w:r>
      <w:r w:rsidR="00B00C8E">
        <w:rPr>
          <w:lang w:val="en-SE"/>
        </w:rPr>
        <w:t xml:space="preserve"> the in-band emission limit would be tricky to </w:t>
      </w:r>
      <w:r w:rsidR="005D382D">
        <w:rPr>
          <w:lang w:val="en-SE"/>
        </w:rPr>
        <w:t>resolve</w:t>
      </w:r>
      <w:r w:rsidR="0039207C">
        <w:rPr>
          <w:lang w:val="en-SE"/>
        </w:rPr>
        <w:t xml:space="preserve">, as shown for the </w:t>
      </w:r>
      <w:r w:rsidR="0039207C" w:rsidRPr="0039207C">
        <w:rPr>
          <w:lang w:val="en-SE"/>
        </w:rPr>
        <w:t xml:space="preserve">b254 </w:t>
      </w:r>
      <w:proofErr w:type="spellStart"/>
      <w:r w:rsidR="0039207C" w:rsidRPr="0039207C">
        <w:rPr>
          <w:lang w:val="en-SE"/>
        </w:rPr>
        <w:t>v.s</w:t>
      </w:r>
      <w:proofErr w:type="spellEnd"/>
      <w:r w:rsidR="0039207C" w:rsidRPr="0039207C">
        <w:rPr>
          <w:lang w:val="en-SE"/>
        </w:rPr>
        <w:t>. ETSI EN 301</w:t>
      </w:r>
      <w:r w:rsidR="003D01E8">
        <w:rPr>
          <w:lang w:val="en-SE"/>
        </w:rPr>
        <w:t> </w:t>
      </w:r>
      <w:r w:rsidR="0039207C" w:rsidRPr="0039207C">
        <w:rPr>
          <w:lang w:val="en-SE"/>
        </w:rPr>
        <w:t>441</w:t>
      </w:r>
      <w:r w:rsidR="003D01E8">
        <w:rPr>
          <w:lang w:val="en-SE"/>
        </w:rPr>
        <w:t xml:space="preserve"> in Fig. 2</w:t>
      </w:r>
      <w:r w:rsidR="00B00C8E">
        <w:rPr>
          <w:lang w:val="en-SE"/>
        </w:rPr>
        <w:t xml:space="preserve">. </w:t>
      </w:r>
      <w:r w:rsidR="00BC7471">
        <w:rPr>
          <w:lang w:val="en-SE"/>
        </w:rPr>
        <w:t>Based on the replied LS from ETSI</w:t>
      </w:r>
      <w:r w:rsidRPr="0039207C">
        <w:rPr>
          <w:lang w:val="en-SE"/>
        </w:rPr>
        <w:t xml:space="preserve"> [</w:t>
      </w:r>
      <w:r w:rsidR="00096963">
        <w:rPr>
          <w:lang w:val="en-SE"/>
        </w:rPr>
        <w:t>3</w:t>
      </w:r>
      <w:r w:rsidRPr="0039207C">
        <w:rPr>
          <w:lang w:val="en-SE"/>
        </w:rPr>
        <w:t>]</w:t>
      </w:r>
      <w:r w:rsidR="0065092C" w:rsidRPr="0039207C">
        <w:rPr>
          <w:lang w:val="en-SE"/>
        </w:rPr>
        <w:t>[</w:t>
      </w:r>
      <w:r w:rsidR="00096963">
        <w:rPr>
          <w:lang w:val="en-SE"/>
        </w:rPr>
        <w:t>4</w:t>
      </w:r>
      <w:r w:rsidR="0065092C" w:rsidRPr="0039207C">
        <w:rPr>
          <w:lang w:val="en-SE"/>
        </w:rPr>
        <w:t>]</w:t>
      </w:r>
      <w:r w:rsidR="00BC7471">
        <w:rPr>
          <w:lang w:val="en-SE"/>
        </w:rPr>
        <w:t xml:space="preserve">, some actions </w:t>
      </w:r>
      <w:r>
        <w:rPr>
          <w:lang w:val="en-SE"/>
        </w:rPr>
        <w:t>are</w:t>
      </w:r>
      <w:r w:rsidR="00BC7471">
        <w:rPr>
          <w:lang w:val="en-SE"/>
        </w:rPr>
        <w:t xml:space="preserve"> ongoing</w:t>
      </w:r>
      <w:r w:rsidR="0065092C" w:rsidRPr="0039207C">
        <w:rPr>
          <w:lang w:val="en-SE"/>
        </w:rPr>
        <w:t xml:space="preserve"> in ETSI</w:t>
      </w:r>
      <w:r w:rsidR="00BC7471">
        <w:rPr>
          <w:lang w:val="en-SE"/>
        </w:rPr>
        <w:t xml:space="preserve"> to create a new harmonized standard for IoT NTN operation</w:t>
      </w:r>
      <w:r w:rsidR="00946215">
        <w:rPr>
          <w:lang w:val="en-SE"/>
        </w:rPr>
        <w:t>. I</w:t>
      </w:r>
      <w:r w:rsidR="00E870E3">
        <w:rPr>
          <w:lang w:val="en-SE"/>
        </w:rPr>
        <w:t xml:space="preserve">t is suggested </w:t>
      </w:r>
      <w:r w:rsidR="0065092C">
        <w:rPr>
          <w:lang w:val="en-SE"/>
        </w:rPr>
        <w:t>3GPP</w:t>
      </w:r>
      <w:r w:rsidR="00E870E3">
        <w:rPr>
          <w:lang w:val="en-SE"/>
        </w:rPr>
        <w:t xml:space="preserve"> wait for the ETSI progress </w:t>
      </w:r>
      <w:r w:rsidR="00A60779">
        <w:rPr>
          <w:lang w:val="en-SE"/>
        </w:rPr>
        <w:t>before we capture any ETSI lim</w:t>
      </w:r>
      <w:r w:rsidR="0065092C">
        <w:rPr>
          <w:lang w:val="en-SE"/>
        </w:rPr>
        <w:t>i</w:t>
      </w:r>
      <w:r w:rsidR="00A60779">
        <w:rPr>
          <w:lang w:val="en-SE"/>
        </w:rPr>
        <w:t xml:space="preserve">ts in 3GPP HPUE for IoT NTN. For other regulatory requirements applicable </w:t>
      </w:r>
      <w:r w:rsidR="00574D1F">
        <w:rPr>
          <w:lang w:val="en-SE"/>
        </w:rPr>
        <w:t>to</w:t>
      </w:r>
      <w:r w:rsidR="00A60779">
        <w:rPr>
          <w:lang w:val="en-SE"/>
        </w:rPr>
        <w:t xml:space="preserve"> IoT NTN, 3GPP should also </w:t>
      </w:r>
      <w:r w:rsidR="00946215">
        <w:rPr>
          <w:lang w:val="en-SE"/>
        </w:rPr>
        <w:t>scrutinize them</w:t>
      </w:r>
      <w:r w:rsidR="00A60779">
        <w:rPr>
          <w:lang w:val="en-SE"/>
        </w:rPr>
        <w:t xml:space="preserve"> </w:t>
      </w:r>
      <w:r w:rsidR="00946215">
        <w:rPr>
          <w:lang w:val="en-SE"/>
        </w:rPr>
        <w:t xml:space="preserve">to determine </w:t>
      </w:r>
      <w:r w:rsidR="00A60779">
        <w:rPr>
          <w:lang w:val="en-SE"/>
        </w:rPr>
        <w:t xml:space="preserve">if </w:t>
      </w:r>
      <w:r w:rsidR="0065092C">
        <w:rPr>
          <w:lang w:val="en-SE"/>
        </w:rPr>
        <w:t xml:space="preserve">the </w:t>
      </w:r>
      <w:r w:rsidR="00A60779">
        <w:rPr>
          <w:lang w:val="en-SE"/>
        </w:rPr>
        <w:t>existing solution (</w:t>
      </w:r>
      <w:r w:rsidR="003D01E8">
        <w:rPr>
          <w:lang w:val="en-SE"/>
        </w:rPr>
        <w:t>guard band</w:t>
      </w:r>
      <w:r w:rsidR="00A60779">
        <w:rPr>
          <w:lang w:val="en-SE"/>
        </w:rPr>
        <w:t xml:space="preserve"> or AMPR)</w:t>
      </w:r>
      <w:r w:rsidR="00801DA3">
        <w:rPr>
          <w:lang w:val="en-SE"/>
        </w:rPr>
        <w:t xml:space="preserve"> </w:t>
      </w:r>
      <w:r w:rsidR="00A60779">
        <w:rPr>
          <w:lang w:val="en-SE"/>
        </w:rPr>
        <w:t>would be sufficient for HPUE</w:t>
      </w:r>
      <w:r w:rsidR="0065092C">
        <w:rPr>
          <w:lang w:val="en-SE"/>
        </w:rPr>
        <w:t>.</w:t>
      </w:r>
    </w:p>
    <w:p w14:paraId="40C90BE1" w14:textId="193D137A" w:rsidR="00B76E76" w:rsidRDefault="00523653" w:rsidP="00AA7F24">
      <w:pPr>
        <w:pStyle w:val="BodyText"/>
        <w:jc w:val="center"/>
        <w:rPr>
          <w:noProof/>
        </w:rPr>
      </w:pPr>
      <w:r>
        <w:rPr>
          <w:noProof/>
        </w:rPr>
        <w:lastRenderedPageBreak/>
        <w:drawing>
          <wp:inline distT="0" distB="0" distL="0" distR="0" wp14:anchorId="5720E0D9" wp14:editId="44C5F69C">
            <wp:extent cx="6120000" cy="2144637"/>
            <wp:effectExtent l="0" t="0" r="635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000" cy="2144637"/>
                    </a:xfrm>
                    <a:prstGeom prst="rect">
                      <a:avLst/>
                    </a:prstGeom>
                  </pic:spPr>
                </pic:pic>
              </a:graphicData>
            </a:graphic>
          </wp:inline>
        </w:drawing>
      </w:r>
    </w:p>
    <w:p w14:paraId="3FF5A361" w14:textId="1A8890F0" w:rsidR="0039575D" w:rsidRDefault="0039575D" w:rsidP="0039575D">
      <w:pPr>
        <w:pStyle w:val="BodyText"/>
        <w:jc w:val="center"/>
        <w:rPr>
          <w:b/>
          <w:bCs/>
          <w:sz w:val="16"/>
          <w:szCs w:val="16"/>
          <w:lang w:val="en-US"/>
        </w:rPr>
      </w:pPr>
      <w:r w:rsidRPr="0039575D">
        <w:rPr>
          <w:b/>
          <w:bCs/>
          <w:sz w:val="16"/>
          <w:szCs w:val="16"/>
          <w:lang w:val="en-US"/>
        </w:rPr>
        <w:t xml:space="preserve">Fig. </w:t>
      </w:r>
      <w:r w:rsidR="005D382D">
        <w:rPr>
          <w:b/>
          <w:bCs/>
          <w:sz w:val="16"/>
          <w:szCs w:val="16"/>
          <w:lang w:val="en-SE"/>
        </w:rPr>
        <w:t>1</w:t>
      </w:r>
      <w:r w:rsidRPr="0039575D">
        <w:rPr>
          <w:b/>
          <w:bCs/>
          <w:sz w:val="16"/>
          <w:szCs w:val="16"/>
          <w:lang w:val="en-US"/>
        </w:rPr>
        <w:t>. The comparison of ETSI</w:t>
      </w:r>
      <w:r>
        <w:rPr>
          <w:b/>
          <w:bCs/>
          <w:sz w:val="16"/>
          <w:szCs w:val="16"/>
          <w:lang w:val="en-US"/>
        </w:rPr>
        <w:t xml:space="preserve"> </w:t>
      </w:r>
      <w:r w:rsidRPr="0039575D">
        <w:rPr>
          <w:b/>
          <w:bCs/>
          <w:sz w:val="16"/>
          <w:szCs w:val="16"/>
          <w:lang w:val="en-US"/>
        </w:rPr>
        <w:t>OOB emission limit</w:t>
      </w:r>
      <w:r w:rsidR="00220AB8">
        <w:rPr>
          <w:b/>
          <w:bCs/>
          <w:sz w:val="16"/>
          <w:szCs w:val="16"/>
          <w:lang w:val="en-SE"/>
        </w:rPr>
        <w:t xml:space="preserve"> in </w:t>
      </w:r>
      <w:r w:rsidR="00220AB8" w:rsidRPr="00220AB8">
        <w:rPr>
          <w:b/>
          <w:bCs/>
          <w:sz w:val="16"/>
          <w:szCs w:val="16"/>
          <w:lang w:val="en-SE"/>
        </w:rPr>
        <w:t xml:space="preserve">ETSI EN 301 681 </w:t>
      </w:r>
      <w:r w:rsidR="005538D2" w:rsidRPr="0039575D">
        <w:rPr>
          <w:b/>
          <w:bCs/>
          <w:sz w:val="16"/>
          <w:szCs w:val="16"/>
          <w:lang w:val="en-US"/>
        </w:rPr>
        <w:t>vs.</w:t>
      </w:r>
      <w:r w:rsidRPr="0039575D">
        <w:rPr>
          <w:b/>
          <w:bCs/>
          <w:sz w:val="16"/>
          <w:szCs w:val="16"/>
          <w:lang w:val="en-US"/>
        </w:rPr>
        <w:t xml:space="preserve"> 3GPP SEM for </w:t>
      </w:r>
      <w:r>
        <w:rPr>
          <w:b/>
          <w:bCs/>
          <w:sz w:val="16"/>
          <w:szCs w:val="16"/>
          <w:lang w:val="en-US"/>
        </w:rPr>
        <w:t>NB-IoT</w:t>
      </w:r>
      <w:r w:rsidR="001136BC">
        <w:rPr>
          <w:b/>
          <w:bCs/>
          <w:sz w:val="16"/>
          <w:szCs w:val="16"/>
          <w:lang w:val="en-SE"/>
        </w:rPr>
        <w:t xml:space="preserve"> in b255</w:t>
      </w:r>
      <w:r w:rsidR="005538D2">
        <w:rPr>
          <w:b/>
          <w:bCs/>
          <w:sz w:val="16"/>
          <w:szCs w:val="16"/>
          <w:lang w:val="en-US"/>
        </w:rPr>
        <w:t>.</w:t>
      </w:r>
    </w:p>
    <w:p w14:paraId="597DA9FD" w14:textId="77777777" w:rsidR="000C4613" w:rsidRDefault="000C4613" w:rsidP="0039575D">
      <w:pPr>
        <w:pStyle w:val="BodyText"/>
        <w:jc w:val="center"/>
        <w:rPr>
          <w:b/>
          <w:bCs/>
          <w:sz w:val="16"/>
          <w:szCs w:val="16"/>
          <w:lang w:val="en-US"/>
        </w:rPr>
      </w:pPr>
    </w:p>
    <w:p w14:paraId="6E30D2DA" w14:textId="41B49E60" w:rsidR="00220AB8" w:rsidRDefault="00316F5A" w:rsidP="0039575D">
      <w:pPr>
        <w:pStyle w:val="BodyText"/>
        <w:jc w:val="center"/>
        <w:rPr>
          <w:b/>
          <w:bCs/>
          <w:sz w:val="16"/>
          <w:szCs w:val="16"/>
          <w:lang w:val="en-US"/>
        </w:rPr>
      </w:pPr>
      <w:r>
        <w:rPr>
          <w:noProof/>
        </w:rPr>
        <w:drawing>
          <wp:inline distT="0" distB="0" distL="0" distR="0" wp14:anchorId="492C9BD2" wp14:editId="4A63825F">
            <wp:extent cx="6120000" cy="242938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000" cy="2429388"/>
                    </a:xfrm>
                    <a:prstGeom prst="rect">
                      <a:avLst/>
                    </a:prstGeom>
                  </pic:spPr>
                </pic:pic>
              </a:graphicData>
            </a:graphic>
          </wp:inline>
        </w:drawing>
      </w:r>
    </w:p>
    <w:p w14:paraId="30A503B5" w14:textId="4DA75146" w:rsidR="00316F5A" w:rsidRDefault="00316F5A" w:rsidP="00FB6846">
      <w:pPr>
        <w:pStyle w:val="BodyText"/>
        <w:jc w:val="center"/>
        <w:rPr>
          <w:b/>
          <w:bCs/>
          <w:sz w:val="16"/>
          <w:szCs w:val="16"/>
          <w:lang w:val="en-US"/>
        </w:rPr>
      </w:pPr>
      <w:r w:rsidRPr="0039575D">
        <w:rPr>
          <w:b/>
          <w:bCs/>
          <w:sz w:val="16"/>
          <w:szCs w:val="16"/>
          <w:lang w:val="en-US"/>
        </w:rPr>
        <w:t xml:space="preserve">Fig. </w:t>
      </w:r>
      <w:r w:rsidR="005D382D">
        <w:rPr>
          <w:b/>
          <w:bCs/>
          <w:sz w:val="16"/>
          <w:szCs w:val="16"/>
          <w:lang w:val="en-SE"/>
        </w:rPr>
        <w:t>2</w:t>
      </w:r>
      <w:r w:rsidRPr="0039575D">
        <w:rPr>
          <w:b/>
          <w:bCs/>
          <w:sz w:val="16"/>
          <w:szCs w:val="16"/>
          <w:lang w:val="en-US"/>
        </w:rPr>
        <w:t>. The comparison of ETSI</w:t>
      </w:r>
      <w:r w:rsidR="00FB6846">
        <w:rPr>
          <w:b/>
          <w:bCs/>
          <w:sz w:val="16"/>
          <w:szCs w:val="16"/>
          <w:lang w:val="en-SE"/>
        </w:rPr>
        <w:t xml:space="preserve"> IB and</w:t>
      </w:r>
      <w:r>
        <w:rPr>
          <w:b/>
          <w:bCs/>
          <w:sz w:val="16"/>
          <w:szCs w:val="16"/>
          <w:lang w:val="en-US"/>
        </w:rPr>
        <w:t xml:space="preserve"> </w:t>
      </w:r>
      <w:r w:rsidRPr="0039575D">
        <w:rPr>
          <w:b/>
          <w:bCs/>
          <w:sz w:val="16"/>
          <w:szCs w:val="16"/>
          <w:lang w:val="en-US"/>
        </w:rPr>
        <w:t>OOB emission limit</w:t>
      </w:r>
      <w:r>
        <w:rPr>
          <w:b/>
          <w:bCs/>
          <w:sz w:val="16"/>
          <w:szCs w:val="16"/>
          <w:lang w:val="en-SE"/>
        </w:rPr>
        <w:t xml:space="preserve"> in</w:t>
      </w:r>
      <w:r w:rsidR="00FB6846">
        <w:rPr>
          <w:b/>
          <w:bCs/>
          <w:sz w:val="16"/>
          <w:szCs w:val="16"/>
          <w:lang w:val="en-SE"/>
        </w:rPr>
        <w:t xml:space="preserve"> </w:t>
      </w:r>
      <w:r w:rsidR="00FB6846" w:rsidRPr="00FB6846">
        <w:rPr>
          <w:b/>
          <w:bCs/>
          <w:sz w:val="16"/>
          <w:szCs w:val="16"/>
          <w:lang w:val="en-US"/>
        </w:rPr>
        <w:t xml:space="preserve">ETSI EN 301 441 </w:t>
      </w:r>
      <w:r w:rsidRPr="0039575D">
        <w:rPr>
          <w:b/>
          <w:bCs/>
          <w:sz w:val="16"/>
          <w:szCs w:val="16"/>
          <w:lang w:val="en-US"/>
        </w:rPr>
        <w:t xml:space="preserve">vs. 3GPP SEM for </w:t>
      </w:r>
      <w:r>
        <w:rPr>
          <w:b/>
          <w:bCs/>
          <w:sz w:val="16"/>
          <w:szCs w:val="16"/>
          <w:lang w:val="en-US"/>
        </w:rPr>
        <w:t>NB-IoT</w:t>
      </w:r>
      <w:r w:rsidR="001136BC">
        <w:rPr>
          <w:b/>
          <w:bCs/>
          <w:sz w:val="16"/>
          <w:szCs w:val="16"/>
          <w:lang w:val="en-SE"/>
        </w:rPr>
        <w:t xml:space="preserve"> in b254</w:t>
      </w:r>
      <w:r>
        <w:rPr>
          <w:b/>
          <w:bCs/>
          <w:sz w:val="16"/>
          <w:szCs w:val="16"/>
          <w:lang w:val="en-US"/>
        </w:rPr>
        <w:t>.</w:t>
      </w:r>
    </w:p>
    <w:p w14:paraId="433C108E" w14:textId="0D63CC02" w:rsidR="003D01E8" w:rsidRPr="00946215" w:rsidRDefault="003D01E8" w:rsidP="00915951">
      <w:pPr>
        <w:pStyle w:val="BodyText"/>
        <w:jc w:val="both"/>
        <w:rPr>
          <w:b/>
          <w:bCs/>
          <w:lang w:val="en-SE"/>
        </w:rPr>
      </w:pPr>
      <w:r w:rsidRPr="00915951">
        <w:rPr>
          <w:b/>
          <w:bCs/>
          <w:lang w:val="en-SE"/>
        </w:rPr>
        <w:t xml:space="preserve">Proposal </w:t>
      </w:r>
      <w:r w:rsidR="00EE2A9F">
        <w:rPr>
          <w:b/>
          <w:bCs/>
          <w:lang w:val="en-SE"/>
        </w:rPr>
        <w:t>2</w:t>
      </w:r>
      <w:r w:rsidRPr="00915951">
        <w:rPr>
          <w:b/>
          <w:bCs/>
          <w:lang w:val="en-SE"/>
        </w:rPr>
        <w:t xml:space="preserve">: RAN4 shall carefully </w:t>
      </w:r>
      <w:r w:rsidR="00F53F6B" w:rsidRPr="00915951">
        <w:rPr>
          <w:b/>
          <w:bCs/>
          <w:lang w:val="en-SE"/>
        </w:rPr>
        <w:t xml:space="preserve">study the corresponding emission limit from regulators and </w:t>
      </w:r>
      <w:r w:rsidR="00946215">
        <w:rPr>
          <w:b/>
          <w:bCs/>
          <w:lang w:val="en-SE"/>
        </w:rPr>
        <w:t xml:space="preserve">specify the method to ensure the 3GPP HPUE IoT NTN does not violate them. </w:t>
      </w:r>
    </w:p>
    <w:p w14:paraId="3E2AA173" w14:textId="177AAB60" w:rsidR="004703B0" w:rsidRDefault="004703B0" w:rsidP="00915951">
      <w:pPr>
        <w:pStyle w:val="BodyText"/>
        <w:jc w:val="both"/>
        <w:rPr>
          <w:b/>
          <w:bCs/>
          <w:lang w:val="en-SE"/>
        </w:rPr>
      </w:pPr>
      <w:r>
        <w:rPr>
          <w:b/>
          <w:bCs/>
          <w:lang w:val="en-SE"/>
        </w:rPr>
        <w:t xml:space="preserve">Proposal </w:t>
      </w:r>
      <w:r w:rsidR="00596C44">
        <w:rPr>
          <w:b/>
          <w:bCs/>
          <w:lang w:val="en-SE"/>
        </w:rPr>
        <w:t>3</w:t>
      </w:r>
      <w:r>
        <w:rPr>
          <w:b/>
          <w:bCs/>
          <w:lang w:val="en-SE"/>
        </w:rPr>
        <w:t>: RAN4 may wait for ETSI to specify the new harmonize</w:t>
      </w:r>
      <w:r w:rsidR="00574D1F">
        <w:rPr>
          <w:b/>
          <w:bCs/>
          <w:lang w:val="en-SE"/>
        </w:rPr>
        <w:t>d</w:t>
      </w:r>
      <w:r>
        <w:rPr>
          <w:b/>
          <w:bCs/>
          <w:lang w:val="en-SE"/>
        </w:rPr>
        <w:t xml:space="preserve"> standard for </w:t>
      </w:r>
      <w:r w:rsidR="00946215">
        <w:rPr>
          <w:b/>
          <w:bCs/>
          <w:lang w:val="en-SE"/>
        </w:rPr>
        <w:t xml:space="preserve">HPUE </w:t>
      </w:r>
      <w:r>
        <w:rPr>
          <w:b/>
          <w:bCs/>
          <w:lang w:val="en-SE"/>
        </w:rPr>
        <w:t xml:space="preserve">IoT NTN before capturing </w:t>
      </w:r>
      <w:r w:rsidR="00426E65">
        <w:rPr>
          <w:b/>
          <w:bCs/>
          <w:lang w:val="en-SE"/>
        </w:rPr>
        <w:t>any emission limit from ET</w:t>
      </w:r>
      <w:r w:rsidR="00946215">
        <w:rPr>
          <w:b/>
          <w:bCs/>
          <w:lang w:val="en-SE"/>
        </w:rPr>
        <w:t xml:space="preserve">SI. </w:t>
      </w:r>
    </w:p>
    <w:p w14:paraId="6E6B44F4" w14:textId="35E7ED80" w:rsidR="00BF76C1" w:rsidRPr="00BF76C1" w:rsidRDefault="008C3B96" w:rsidP="00915951">
      <w:pPr>
        <w:pStyle w:val="BodyText"/>
        <w:jc w:val="both"/>
        <w:rPr>
          <w:lang w:val="en-SE"/>
        </w:rPr>
      </w:pPr>
      <w:r>
        <w:rPr>
          <w:lang w:val="en-SE"/>
        </w:rPr>
        <w:t>Since some of the emission limits have already been challenging for PC3, meeting those limits with an even higher power class has</w:t>
      </w:r>
      <w:r w:rsidR="00BF76C1">
        <w:rPr>
          <w:lang w:val="en-SE"/>
        </w:rPr>
        <w:t xml:space="preserve"> become more challenging. </w:t>
      </w:r>
      <w:r w:rsidR="004047BE">
        <w:rPr>
          <w:lang w:val="en-SE"/>
        </w:rPr>
        <w:t>Fully rely</w:t>
      </w:r>
      <w:r>
        <w:rPr>
          <w:lang w:val="en-SE"/>
        </w:rPr>
        <w:t>ing</w:t>
      </w:r>
      <w:r w:rsidR="004047BE">
        <w:rPr>
          <w:lang w:val="en-SE"/>
        </w:rPr>
        <w:t xml:space="preserve"> on the A-MPR may not be a practical solution</w:t>
      </w:r>
      <w:r>
        <w:rPr>
          <w:lang w:val="en-SE"/>
        </w:rPr>
        <w:t>,</w:t>
      </w:r>
      <w:r w:rsidR="004047BE">
        <w:rPr>
          <w:lang w:val="en-SE"/>
        </w:rPr>
        <w:t xml:space="preserve"> </w:t>
      </w:r>
      <w:r w:rsidR="00EE2A9F">
        <w:rPr>
          <w:lang w:val="en-SE"/>
        </w:rPr>
        <w:t>but guard band or guard RB can be considered in some cases, especially for out</w:t>
      </w:r>
      <w:r>
        <w:rPr>
          <w:lang w:val="en-SE"/>
        </w:rPr>
        <w:t>-of-</w:t>
      </w:r>
      <w:r w:rsidR="00EE2A9F">
        <w:rPr>
          <w:lang w:val="en-SE"/>
        </w:rPr>
        <w:t xml:space="preserve">band emission. </w:t>
      </w:r>
    </w:p>
    <w:p w14:paraId="727FC480" w14:textId="0CB65B87" w:rsidR="00CB1684" w:rsidRDefault="00CB1684" w:rsidP="00915951">
      <w:pPr>
        <w:pStyle w:val="BodyText"/>
        <w:jc w:val="both"/>
        <w:rPr>
          <w:b/>
          <w:bCs/>
          <w:lang w:val="en-SE"/>
        </w:rPr>
      </w:pPr>
      <w:r>
        <w:rPr>
          <w:b/>
          <w:bCs/>
          <w:lang w:val="en-SE"/>
        </w:rPr>
        <w:t xml:space="preserve">Proposal </w:t>
      </w:r>
      <w:r w:rsidR="00596C44">
        <w:rPr>
          <w:b/>
          <w:bCs/>
          <w:lang w:val="en-SE"/>
        </w:rPr>
        <w:t>4</w:t>
      </w:r>
      <w:r>
        <w:rPr>
          <w:b/>
          <w:bCs/>
          <w:lang w:val="en-SE"/>
        </w:rPr>
        <w:t xml:space="preserve">: </w:t>
      </w:r>
      <w:r w:rsidR="004047BE">
        <w:rPr>
          <w:b/>
          <w:bCs/>
          <w:lang w:val="en-SE"/>
        </w:rPr>
        <w:t>In addition to the</w:t>
      </w:r>
      <w:r w:rsidR="00F8194C">
        <w:rPr>
          <w:b/>
          <w:bCs/>
          <w:lang w:val="en-SE"/>
        </w:rPr>
        <w:t xml:space="preserve"> AMPR, guard band/RB may also be considered for HPUE </w:t>
      </w:r>
      <w:r w:rsidR="004047BE">
        <w:rPr>
          <w:b/>
          <w:bCs/>
          <w:lang w:val="en-SE"/>
        </w:rPr>
        <w:t xml:space="preserve">IoT NTN to meet the emission limit. </w:t>
      </w:r>
    </w:p>
    <w:p w14:paraId="533C976C" w14:textId="35FD60A3" w:rsidR="00A164E1" w:rsidRDefault="00A164E1" w:rsidP="00A164E1">
      <w:pPr>
        <w:pStyle w:val="Heading1"/>
        <w:numPr>
          <w:ilvl w:val="0"/>
          <w:numId w:val="8"/>
        </w:numPr>
        <w:jc w:val="both"/>
        <w:rPr>
          <w:bCs/>
          <w:lang w:val="en-SE"/>
        </w:rPr>
      </w:pPr>
      <w:r>
        <w:rPr>
          <w:bCs/>
          <w:lang w:val="en-SE"/>
        </w:rPr>
        <w:t>SAR solution</w:t>
      </w:r>
    </w:p>
    <w:p w14:paraId="0FBB4663" w14:textId="1D8F0877" w:rsidR="00A164E1" w:rsidRDefault="00C14D41" w:rsidP="00A164E1">
      <w:pPr>
        <w:pStyle w:val="BodyText"/>
        <w:rPr>
          <w:lang w:val="en-SE"/>
        </w:rPr>
      </w:pPr>
      <w:r>
        <w:rPr>
          <w:lang w:val="en-SE"/>
        </w:rPr>
        <w:t xml:space="preserve">For </w:t>
      </w:r>
      <w:r w:rsidR="008C3B96">
        <w:rPr>
          <w:lang w:val="en-SE"/>
        </w:rPr>
        <w:t xml:space="preserve">the </w:t>
      </w:r>
      <w:r>
        <w:rPr>
          <w:lang w:val="en-SE"/>
        </w:rPr>
        <w:t>SAR solution, the following agreements have been made</w:t>
      </w:r>
      <w:r w:rsidR="00596C44">
        <w:rPr>
          <w:lang w:val="en-SE"/>
        </w:rPr>
        <w:t xml:space="preserve"> in RAN4#112[2]</w:t>
      </w:r>
      <w:r>
        <w:rPr>
          <w:lang w:val="en-SE"/>
        </w:rPr>
        <w:t xml:space="preserve">: </w:t>
      </w:r>
    </w:p>
    <w:p w14:paraId="4BF08CC1" w14:textId="77777777" w:rsidR="000A4303" w:rsidRPr="000A4303" w:rsidRDefault="000A4303" w:rsidP="000A4303">
      <w:pPr>
        <w:ind w:left="720"/>
        <w:rPr>
          <w:b/>
          <w:i/>
          <w:iCs/>
          <w:u w:val="single"/>
          <w:lang w:val="en-US" w:eastAsia="zh-CN"/>
        </w:rPr>
      </w:pPr>
      <w:r w:rsidRPr="000A4303">
        <w:rPr>
          <w:b/>
          <w:i/>
          <w:iCs/>
          <w:u w:val="single"/>
        </w:rPr>
        <w:t>Issue 3-3-4: SAR for handheld</w:t>
      </w:r>
    </w:p>
    <w:p w14:paraId="6654B223" w14:textId="77777777" w:rsidR="000A4303" w:rsidRPr="000A4303" w:rsidRDefault="000A4303" w:rsidP="000A4303">
      <w:pPr>
        <w:ind w:left="720"/>
        <w:rPr>
          <w:b/>
          <w:bCs/>
          <w:i/>
          <w:iCs/>
        </w:rPr>
      </w:pPr>
      <w:r w:rsidRPr="000A4303">
        <w:rPr>
          <w:b/>
          <w:bCs/>
          <w:i/>
          <w:iCs/>
        </w:rPr>
        <w:t xml:space="preserve">Agreement: </w:t>
      </w:r>
    </w:p>
    <w:p w14:paraId="5A42C360" w14:textId="77777777" w:rsidR="000A4303" w:rsidRPr="000A4303" w:rsidRDefault="000A4303" w:rsidP="000A4303">
      <w:pPr>
        <w:pStyle w:val="ListParagraph"/>
        <w:numPr>
          <w:ilvl w:val="0"/>
          <w:numId w:val="13"/>
        </w:numPr>
        <w:overflowPunct/>
        <w:autoSpaceDE/>
        <w:autoSpaceDN/>
        <w:adjustRightInd/>
        <w:spacing w:after="160" w:line="256" w:lineRule="auto"/>
        <w:ind w:left="1140"/>
        <w:contextualSpacing w:val="0"/>
        <w:textAlignment w:val="auto"/>
        <w:rPr>
          <w:i/>
          <w:iCs/>
        </w:rPr>
      </w:pPr>
      <w:r w:rsidRPr="000A4303">
        <w:rPr>
          <w:i/>
          <w:iCs/>
        </w:rPr>
        <w:t xml:space="preserve">Using P-MPR as the starting point </w:t>
      </w:r>
    </w:p>
    <w:p w14:paraId="4E4E31D6" w14:textId="77777777" w:rsidR="000A4303" w:rsidRPr="000A4303" w:rsidRDefault="000A4303" w:rsidP="000A4303">
      <w:pPr>
        <w:pStyle w:val="ListParagraph"/>
        <w:numPr>
          <w:ilvl w:val="0"/>
          <w:numId w:val="13"/>
        </w:numPr>
        <w:overflowPunct/>
        <w:autoSpaceDE/>
        <w:autoSpaceDN/>
        <w:adjustRightInd/>
        <w:spacing w:after="160" w:line="256" w:lineRule="auto"/>
        <w:ind w:left="1140"/>
        <w:contextualSpacing w:val="0"/>
        <w:textAlignment w:val="auto"/>
        <w:rPr>
          <w:i/>
          <w:iCs/>
        </w:rPr>
      </w:pPr>
      <w:r w:rsidRPr="000A4303">
        <w:rPr>
          <w:i/>
          <w:iCs/>
        </w:rPr>
        <w:t xml:space="preserve">The other solutions are not </w:t>
      </w:r>
      <w:proofErr w:type="gramStart"/>
      <w:r w:rsidRPr="000A4303">
        <w:rPr>
          <w:i/>
          <w:iCs/>
        </w:rPr>
        <w:t>precluded</w:t>
      </w:r>
      <w:proofErr w:type="gramEnd"/>
    </w:p>
    <w:p w14:paraId="28DAB12A" w14:textId="77777777" w:rsidR="000A4303" w:rsidRPr="000A4303" w:rsidRDefault="000A4303" w:rsidP="000A4303">
      <w:pPr>
        <w:pStyle w:val="ListParagraph"/>
        <w:numPr>
          <w:ilvl w:val="1"/>
          <w:numId w:val="13"/>
        </w:numPr>
        <w:overflowPunct/>
        <w:autoSpaceDE/>
        <w:autoSpaceDN/>
        <w:adjustRightInd/>
        <w:spacing w:after="160" w:line="256" w:lineRule="auto"/>
        <w:ind w:left="1560"/>
        <w:contextualSpacing w:val="0"/>
        <w:textAlignment w:val="auto"/>
        <w:rPr>
          <w:i/>
          <w:iCs/>
        </w:rPr>
      </w:pPr>
      <w:r w:rsidRPr="000A4303">
        <w:rPr>
          <w:i/>
          <w:iCs/>
        </w:rPr>
        <w:t xml:space="preserve">E.g., the solution similar to TN duty cycle based on UE capability and network </w:t>
      </w:r>
      <w:proofErr w:type="gramStart"/>
      <w:r w:rsidRPr="000A4303">
        <w:rPr>
          <w:i/>
          <w:iCs/>
        </w:rPr>
        <w:t>scheduling</w:t>
      </w:r>
      <w:proofErr w:type="gramEnd"/>
    </w:p>
    <w:p w14:paraId="5DC00D91" w14:textId="6B673FD7" w:rsidR="00030F4B" w:rsidRDefault="000A4303" w:rsidP="00A164E1">
      <w:pPr>
        <w:pStyle w:val="BodyText"/>
      </w:pPr>
      <w:r>
        <w:t>For NTN system</w:t>
      </w:r>
      <w:r w:rsidR="008C3B96">
        <w:t>s</w:t>
      </w:r>
      <w:r>
        <w:t xml:space="preserve"> in handheld devices, it is possible that such a system would be used for emergency case</w:t>
      </w:r>
      <w:r w:rsidR="008C3B96">
        <w:t>s,</w:t>
      </w:r>
      <w:r>
        <w:t xml:space="preserve"> and therefore</w:t>
      </w:r>
      <w:r w:rsidR="008C3B96">
        <w:t>,</w:t>
      </w:r>
      <w:r>
        <w:t xml:space="preserve"> the link budget is critical. </w:t>
      </w:r>
      <w:r w:rsidR="009664CA">
        <w:t xml:space="preserve">Therefore, </w:t>
      </w:r>
      <w:r w:rsidR="008C3B96">
        <w:t>solutions other than P-MPR may need</w:t>
      </w:r>
      <w:r w:rsidR="009664CA">
        <w:t xml:space="preserve"> to be supported. For normal TN handset</w:t>
      </w:r>
      <w:r w:rsidR="008C3B96">
        <w:t>s</w:t>
      </w:r>
      <w:r w:rsidR="009664CA">
        <w:t xml:space="preserve">, </w:t>
      </w:r>
      <w:r w:rsidR="008C3B96">
        <w:t xml:space="preserve">the </w:t>
      </w:r>
      <w:r w:rsidR="009664CA">
        <w:lastRenderedPageBreak/>
        <w:t>duty cycle is a well</w:t>
      </w:r>
      <w:r w:rsidR="008C3B96">
        <w:t>-specified approach so that the network can lower the duty cycle and</w:t>
      </w:r>
      <w:r w:rsidR="00030F4B">
        <w:t xml:space="preserve"> reduce the </w:t>
      </w:r>
      <w:r w:rsidR="008C3B96">
        <w:t>device's P-MPR valu</w:t>
      </w:r>
      <w:r w:rsidR="00030F4B">
        <w:t xml:space="preserve">e. Therefore, </w:t>
      </w:r>
      <w:r w:rsidR="008C3B96">
        <w:t xml:space="preserve">a </w:t>
      </w:r>
      <w:r w:rsidR="00030F4B">
        <w:t xml:space="preserve">similar approach can be applied in NTN as well. </w:t>
      </w:r>
    </w:p>
    <w:p w14:paraId="3313DB38" w14:textId="07950E60" w:rsidR="00030F4B" w:rsidRPr="00596C44" w:rsidRDefault="00030F4B" w:rsidP="00A164E1">
      <w:pPr>
        <w:pStyle w:val="BodyText"/>
        <w:rPr>
          <w:b/>
          <w:bCs/>
        </w:rPr>
      </w:pPr>
      <w:r w:rsidRPr="00596C44">
        <w:rPr>
          <w:b/>
          <w:bCs/>
        </w:rPr>
        <w:t xml:space="preserve">Observation </w:t>
      </w:r>
      <w:r w:rsidR="00596C44" w:rsidRPr="00596C44">
        <w:rPr>
          <w:b/>
          <w:bCs/>
        </w:rPr>
        <w:t>2</w:t>
      </w:r>
      <w:r w:rsidRPr="00596C44">
        <w:rPr>
          <w:b/>
          <w:bCs/>
        </w:rPr>
        <w:t>: the NTN system in handheld devices might be used for emergency case</w:t>
      </w:r>
      <w:r w:rsidR="008C3B96">
        <w:rPr>
          <w:b/>
          <w:bCs/>
        </w:rPr>
        <w:t>s</w:t>
      </w:r>
      <w:r w:rsidR="00E50B98">
        <w:rPr>
          <w:b/>
          <w:bCs/>
        </w:rPr>
        <w:t>;</w:t>
      </w:r>
      <w:r w:rsidRPr="00596C44">
        <w:rPr>
          <w:b/>
          <w:bCs/>
        </w:rPr>
        <w:t xml:space="preserve"> therefore</w:t>
      </w:r>
      <w:r w:rsidR="008C3B96">
        <w:rPr>
          <w:b/>
          <w:bCs/>
        </w:rPr>
        <w:t>,</w:t>
      </w:r>
      <w:r w:rsidRPr="00596C44">
        <w:rPr>
          <w:b/>
          <w:bCs/>
        </w:rPr>
        <w:t xml:space="preserve"> the link budget is critical</w:t>
      </w:r>
      <w:r w:rsidR="008C3B96">
        <w:rPr>
          <w:b/>
          <w:bCs/>
        </w:rPr>
        <w:t>.</w:t>
      </w:r>
      <w:r w:rsidR="00655779" w:rsidRPr="00596C44">
        <w:rPr>
          <w:b/>
          <w:bCs/>
        </w:rPr>
        <w:t xml:space="preserve"> </w:t>
      </w:r>
      <w:r w:rsidR="008C3B96">
        <w:rPr>
          <w:b/>
          <w:bCs/>
        </w:rPr>
        <w:t>Therefore,</w:t>
      </w:r>
      <w:r w:rsidR="00655779" w:rsidRPr="00596C44">
        <w:rPr>
          <w:b/>
          <w:bCs/>
        </w:rPr>
        <w:t xml:space="preserve"> </w:t>
      </w:r>
      <w:r w:rsidR="008C3B96">
        <w:rPr>
          <w:b/>
          <w:bCs/>
        </w:rPr>
        <w:t>relying only on a P-MPR-based solution to meet the SAR limits is not sufficient</w:t>
      </w:r>
      <w:r w:rsidR="00655779" w:rsidRPr="00596C44">
        <w:rPr>
          <w:b/>
          <w:bCs/>
        </w:rPr>
        <w:t xml:space="preserve">. </w:t>
      </w:r>
    </w:p>
    <w:p w14:paraId="091C4949" w14:textId="6CAC31AB" w:rsidR="00A164E1" w:rsidRDefault="00030F4B" w:rsidP="00596C44">
      <w:pPr>
        <w:pStyle w:val="BodyText"/>
        <w:rPr>
          <w:b/>
          <w:bCs/>
        </w:rPr>
      </w:pPr>
      <w:r w:rsidRPr="00596C44">
        <w:rPr>
          <w:b/>
          <w:bCs/>
        </w:rPr>
        <w:t xml:space="preserve">Proposal </w:t>
      </w:r>
      <w:r w:rsidR="00596C44">
        <w:rPr>
          <w:b/>
          <w:bCs/>
        </w:rPr>
        <w:t>5</w:t>
      </w:r>
      <w:r w:rsidRPr="00596C44">
        <w:rPr>
          <w:b/>
          <w:bCs/>
        </w:rPr>
        <w:t xml:space="preserve">: other solutions than P-MPR need to be specified </w:t>
      </w:r>
      <w:r w:rsidR="00655779" w:rsidRPr="00596C44">
        <w:rPr>
          <w:b/>
          <w:bCs/>
        </w:rPr>
        <w:t xml:space="preserve">for HPUE in NTN to ensure </w:t>
      </w:r>
      <w:r w:rsidR="00E4448E">
        <w:rPr>
          <w:b/>
          <w:bCs/>
        </w:rPr>
        <w:t>a sufficient uplink budge</w:t>
      </w:r>
      <w:r w:rsidR="00655779" w:rsidRPr="00596C44">
        <w:rPr>
          <w:b/>
          <w:bCs/>
        </w:rPr>
        <w:t>t.</w:t>
      </w:r>
    </w:p>
    <w:p w14:paraId="3615BCC4" w14:textId="4A745CAF" w:rsidR="00E4448E" w:rsidRPr="00596C44" w:rsidRDefault="00E4448E" w:rsidP="00596C44">
      <w:pPr>
        <w:pStyle w:val="BodyText"/>
        <w:rPr>
          <w:b/>
          <w:bCs/>
        </w:rPr>
      </w:pPr>
      <w:r>
        <w:rPr>
          <w:b/>
          <w:bCs/>
        </w:rPr>
        <w:t xml:space="preserve">Proposal 6: RAN4 shall </w:t>
      </w:r>
      <w:r w:rsidR="00D3749F">
        <w:rPr>
          <w:b/>
          <w:bCs/>
        </w:rPr>
        <w:t xml:space="preserve">check if the duty cycle-based approach for SAR can be applied in </w:t>
      </w:r>
      <w:r w:rsidR="00581F2F">
        <w:rPr>
          <w:b/>
          <w:bCs/>
        </w:rPr>
        <w:t>NTN system.</w:t>
      </w:r>
      <w:r w:rsidR="00D3749F">
        <w:rPr>
          <w:b/>
          <w:bCs/>
        </w:rPr>
        <w:t xml:space="preserve">  </w:t>
      </w:r>
    </w:p>
    <w:bookmarkEnd w:id="0"/>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6653FD2F" w14:textId="77777777" w:rsidR="00581F2F" w:rsidRPr="008054A8" w:rsidRDefault="00581F2F" w:rsidP="00581F2F">
      <w:pPr>
        <w:pStyle w:val="BodyText"/>
        <w:jc w:val="both"/>
        <w:rPr>
          <w:b/>
          <w:bCs/>
          <w:lang w:val="en-SE"/>
        </w:rPr>
      </w:pPr>
      <w:r w:rsidRPr="008054A8">
        <w:rPr>
          <w:b/>
          <w:bCs/>
          <w:lang w:val="en-SE"/>
        </w:rPr>
        <w:t xml:space="preserve">Observation 1: </w:t>
      </w:r>
      <w:r>
        <w:rPr>
          <w:b/>
          <w:bCs/>
          <w:lang w:val="en-SE"/>
        </w:rPr>
        <w:t>D</w:t>
      </w:r>
      <w:r w:rsidRPr="008054A8">
        <w:rPr>
          <w:b/>
          <w:bCs/>
          <w:lang w:val="en-SE"/>
        </w:rPr>
        <w:t xml:space="preserve">ue to the lack of TN requirement as a reference, the MPR and AMPR values of the HPUE need to be re-evaluated based on reasonable implementations of IoT devices. </w:t>
      </w:r>
    </w:p>
    <w:p w14:paraId="408C6D90" w14:textId="69179BE6" w:rsidR="00581F2F" w:rsidRPr="00581F2F" w:rsidRDefault="00581F2F" w:rsidP="00581F2F">
      <w:pPr>
        <w:pStyle w:val="BodyText"/>
        <w:rPr>
          <w:b/>
          <w:bCs/>
        </w:rPr>
      </w:pPr>
      <w:r w:rsidRPr="00596C44">
        <w:rPr>
          <w:b/>
          <w:bCs/>
        </w:rPr>
        <w:t>Observation 2: the NTN system in handheld devices might be used for emergency case</w:t>
      </w:r>
      <w:r>
        <w:rPr>
          <w:b/>
          <w:bCs/>
        </w:rPr>
        <w:t>s;</w:t>
      </w:r>
      <w:r w:rsidRPr="00596C44">
        <w:rPr>
          <w:b/>
          <w:bCs/>
        </w:rPr>
        <w:t xml:space="preserve"> therefore</w:t>
      </w:r>
      <w:r>
        <w:rPr>
          <w:b/>
          <w:bCs/>
        </w:rPr>
        <w:t>,</w:t>
      </w:r>
      <w:r w:rsidRPr="00596C44">
        <w:rPr>
          <w:b/>
          <w:bCs/>
        </w:rPr>
        <w:t xml:space="preserve"> the link budget is critical</w:t>
      </w:r>
      <w:r>
        <w:rPr>
          <w:b/>
          <w:bCs/>
        </w:rPr>
        <w:t>.</w:t>
      </w:r>
      <w:r w:rsidRPr="00596C44">
        <w:rPr>
          <w:b/>
          <w:bCs/>
        </w:rPr>
        <w:t xml:space="preserve"> </w:t>
      </w:r>
      <w:r>
        <w:rPr>
          <w:b/>
          <w:bCs/>
        </w:rPr>
        <w:t>Therefore,</w:t>
      </w:r>
      <w:r w:rsidRPr="00596C44">
        <w:rPr>
          <w:b/>
          <w:bCs/>
        </w:rPr>
        <w:t xml:space="preserve"> </w:t>
      </w:r>
      <w:r>
        <w:rPr>
          <w:b/>
          <w:bCs/>
        </w:rPr>
        <w:t>relying only on a P-MPR-based solution to meet the SAR limits is not sufficient</w:t>
      </w:r>
      <w:r w:rsidRPr="00596C44">
        <w:rPr>
          <w:b/>
          <w:bCs/>
        </w:rPr>
        <w:t xml:space="preserve">. </w:t>
      </w:r>
    </w:p>
    <w:p w14:paraId="6F1FDC24" w14:textId="0A497EA6" w:rsidR="00D3749F" w:rsidRDefault="00D3749F" w:rsidP="00D3749F">
      <w:pPr>
        <w:jc w:val="both"/>
        <w:rPr>
          <w:b/>
        </w:rPr>
      </w:pPr>
      <w:r w:rsidRPr="009B6D8F">
        <w:rPr>
          <w:b/>
        </w:rPr>
        <w:t xml:space="preserve">Proposal 1: RAN4 can focus on the single Tx architecture for PC2 IoT NTN but further study the feasibility of 2Tx architecture. </w:t>
      </w:r>
    </w:p>
    <w:p w14:paraId="49585641" w14:textId="77777777" w:rsidR="00581F2F" w:rsidRPr="00946215" w:rsidRDefault="00581F2F" w:rsidP="00581F2F">
      <w:pPr>
        <w:pStyle w:val="BodyText"/>
        <w:jc w:val="both"/>
        <w:rPr>
          <w:b/>
          <w:bCs/>
          <w:lang w:val="en-SE"/>
        </w:rPr>
      </w:pPr>
      <w:r w:rsidRPr="00915951">
        <w:rPr>
          <w:b/>
          <w:bCs/>
          <w:lang w:val="en-SE"/>
        </w:rPr>
        <w:t xml:space="preserve">Proposal </w:t>
      </w:r>
      <w:r>
        <w:rPr>
          <w:b/>
          <w:bCs/>
          <w:lang w:val="en-SE"/>
        </w:rPr>
        <w:t>2</w:t>
      </w:r>
      <w:r w:rsidRPr="00915951">
        <w:rPr>
          <w:b/>
          <w:bCs/>
          <w:lang w:val="en-SE"/>
        </w:rPr>
        <w:t xml:space="preserve">: RAN4 shall carefully study the corresponding emission limit from regulators and </w:t>
      </w:r>
      <w:r>
        <w:rPr>
          <w:b/>
          <w:bCs/>
          <w:lang w:val="en-SE"/>
        </w:rPr>
        <w:t xml:space="preserve">specify the method to ensure the 3GPP HPUE IoT NTN does not violate them. </w:t>
      </w:r>
    </w:p>
    <w:p w14:paraId="5CF1C9C3" w14:textId="77777777" w:rsidR="00581F2F" w:rsidRDefault="00581F2F" w:rsidP="00581F2F">
      <w:pPr>
        <w:pStyle w:val="BodyText"/>
        <w:jc w:val="both"/>
        <w:rPr>
          <w:b/>
          <w:bCs/>
          <w:lang w:val="en-SE"/>
        </w:rPr>
      </w:pPr>
      <w:r>
        <w:rPr>
          <w:b/>
          <w:bCs/>
          <w:lang w:val="en-SE"/>
        </w:rPr>
        <w:t xml:space="preserve">Proposal 3: RAN4 may wait for ETSI to specify the new harmonized standard for HPUE IoT NTN before capturing any emission limit from ETSI. </w:t>
      </w:r>
    </w:p>
    <w:p w14:paraId="6C86FC10" w14:textId="77777777" w:rsidR="00581F2F" w:rsidRDefault="00581F2F" w:rsidP="00581F2F">
      <w:pPr>
        <w:pStyle w:val="BodyText"/>
        <w:jc w:val="both"/>
        <w:rPr>
          <w:b/>
          <w:bCs/>
          <w:lang w:val="en-SE"/>
        </w:rPr>
      </w:pPr>
      <w:r>
        <w:rPr>
          <w:b/>
          <w:bCs/>
          <w:lang w:val="en-SE"/>
        </w:rPr>
        <w:t xml:space="preserve">Proposal 4: In addition to the AMPR, guard band/RB may also be considered for HPUE IoT NTN to meet the emission limit. </w:t>
      </w:r>
    </w:p>
    <w:p w14:paraId="065788F0" w14:textId="77777777" w:rsidR="00581F2F" w:rsidRDefault="00581F2F" w:rsidP="00581F2F">
      <w:pPr>
        <w:pStyle w:val="BodyText"/>
        <w:rPr>
          <w:b/>
          <w:bCs/>
        </w:rPr>
      </w:pPr>
      <w:r w:rsidRPr="00596C44">
        <w:rPr>
          <w:b/>
          <w:bCs/>
        </w:rPr>
        <w:t xml:space="preserve">Proposal </w:t>
      </w:r>
      <w:r>
        <w:rPr>
          <w:b/>
          <w:bCs/>
        </w:rPr>
        <w:t>5</w:t>
      </w:r>
      <w:r w:rsidRPr="00596C44">
        <w:rPr>
          <w:b/>
          <w:bCs/>
        </w:rPr>
        <w:t xml:space="preserve">: other solutions than P-MPR need to be specified for HPUE in NTN to ensure </w:t>
      </w:r>
      <w:r>
        <w:rPr>
          <w:b/>
          <w:bCs/>
        </w:rPr>
        <w:t>a sufficient uplink budge</w:t>
      </w:r>
      <w:r w:rsidRPr="00596C44">
        <w:rPr>
          <w:b/>
          <w:bCs/>
        </w:rPr>
        <w:t>t.</w:t>
      </w:r>
    </w:p>
    <w:p w14:paraId="3E99CF84" w14:textId="38F86643" w:rsidR="00596C44" w:rsidRPr="00415766" w:rsidRDefault="00581F2F" w:rsidP="00415766">
      <w:pPr>
        <w:pStyle w:val="BodyText"/>
        <w:rPr>
          <w:b/>
          <w:bCs/>
        </w:rPr>
      </w:pPr>
      <w:r>
        <w:rPr>
          <w:b/>
          <w:bCs/>
        </w:rPr>
        <w:t xml:space="preserve">Proposal 6: RAN4 shall check if the duty cycle-based approach for SAR can be applied in NTN system.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35D9F5C2" w14:textId="2BE7876F" w:rsidR="005D382D" w:rsidRPr="00486C96" w:rsidRDefault="005A4D6F" w:rsidP="003D26D5">
      <w:pPr>
        <w:pStyle w:val="BodyText"/>
        <w:numPr>
          <w:ilvl w:val="0"/>
          <w:numId w:val="7"/>
        </w:numPr>
        <w:jc w:val="both"/>
        <w:rPr>
          <w:lang w:val="en-US"/>
        </w:rPr>
      </w:pPr>
      <w:r w:rsidRPr="005A4D6F">
        <w:rPr>
          <w:lang w:val="en-US"/>
        </w:rPr>
        <w:t>RP-240857</w:t>
      </w:r>
      <w:r w:rsidR="00037983">
        <w:rPr>
          <w:lang w:val="en-SE"/>
        </w:rPr>
        <w:t xml:space="preserve"> </w:t>
      </w:r>
      <w:r w:rsidR="00037983" w:rsidRPr="00037983">
        <w:rPr>
          <w:lang w:val="en-SE"/>
        </w:rPr>
        <w:t>New WID: Enhanced requirements and test methodology for NR and IoT NTN</w:t>
      </w:r>
    </w:p>
    <w:p w14:paraId="31F8E180" w14:textId="30429BFF" w:rsidR="00486C96" w:rsidRPr="005624BA" w:rsidRDefault="00486C96" w:rsidP="003D26D5">
      <w:pPr>
        <w:pStyle w:val="BodyText"/>
        <w:numPr>
          <w:ilvl w:val="0"/>
          <w:numId w:val="7"/>
        </w:numPr>
        <w:jc w:val="both"/>
        <w:rPr>
          <w:lang w:val="en-US"/>
        </w:rPr>
      </w:pPr>
      <w:r w:rsidRPr="00486C96">
        <w:rPr>
          <w:lang w:val="en-US"/>
        </w:rPr>
        <w:t>R4-2414452</w:t>
      </w:r>
      <w:r w:rsidRPr="00486C96">
        <w:rPr>
          <w:lang w:val="en-US"/>
        </w:rPr>
        <w:tab/>
        <w:t>WF on UE RF requirements for NTN HPUE</w:t>
      </w:r>
      <w:r>
        <w:rPr>
          <w:lang w:val="en-US"/>
        </w:rPr>
        <w:t xml:space="preserve"> </w:t>
      </w:r>
      <w:r w:rsidRPr="00486C96">
        <w:rPr>
          <w:lang w:val="en-US"/>
        </w:rPr>
        <w:tab/>
        <w:t>Samsung</w:t>
      </w:r>
    </w:p>
    <w:p w14:paraId="654AADAF" w14:textId="77777777" w:rsidR="005624BA" w:rsidRDefault="005624BA" w:rsidP="005624BA">
      <w:pPr>
        <w:pStyle w:val="BodyText"/>
        <w:numPr>
          <w:ilvl w:val="0"/>
          <w:numId w:val="7"/>
        </w:numPr>
        <w:jc w:val="both"/>
        <w:rPr>
          <w:lang w:val="en-US"/>
        </w:rPr>
      </w:pPr>
      <w:r w:rsidRPr="00355D86">
        <w:rPr>
          <w:lang w:val="en-US"/>
        </w:rPr>
        <w:t>R4-2317932</w:t>
      </w:r>
      <w:r w:rsidRPr="00355D86">
        <w:rPr>
          <w:lang w:val="en-US"/>
        </w:rPr>
        <w:tab/>
        <w:t>LS reply on 3GPP NTN requirements and potential impact on specification work in ETSI TC SES</w:t>
      </w:r>
      <w:r w:rsidRPr="00355D86">
        <w:rPr>
          <w:lang w:val="en-US"/>
        </w:rPr>
        <w:tab/>
        <w:t>ETSI TC SES</w:t>
      </w:r>
    </w:p>
    <w:p w14:paraId="011A3407" w14:textId="57E36951" w:rsidR="005624BA" w:rsidRPr="003D26D5" w:rsidRDefault="006E24E2" w:rsidP="003D26D5">
      <w:pPr>
        <w:pStyle w:val="BodyText"/>
        <w:numPr>
          <w:ilvl w:val="0"/>
          <w:numId w:val="7"/>
        </w:numPr>
        <w:jc w:val="both"/>
        <w:rPr>
          <w:lang w:val="en-US"/>
        </w:rPr>
      </w:pPr>
      <w:r w:rsidRPr="006E24E2">
        <w:rPr>
          <w:lang w:val="en-US"/>
        </w:rPr>
        <w:t>R4-2411017</w:t>
      </w:r>
      <w:r w:rsidRPr="006E24E2">
        <w:rPr>
          <w:lang w:val="en-US"/>
        </w:rPr>
        <w:tab/>
        <w:t>Blocking requirements for extended L band</w:t>
      </w:r>
      <w:r w:rsidR="0006127D" w:rsidRPr="0006127D">
        <w:rPr>
          <w:lang w:val="en-US"/>
        </w:rPr>
        <w:t xml:space="preserve"> </w:t>
      </w:r>
      <w:r w:rsidR="0006127D">
        <w:rPr>
          <w:lang w:val="en-US"/>
        </w:rPr>
        <w:tab/>
      </w:r>
      <w:r w:rsidR="0006127D" w:rsidRPr="0006127D">
        <w:rPr>
          <w:lang w:val="en-US"/>
        </w:rPr>
        <w:t>ETSI TC ERM</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6FCEB" w14:textId="77777777" w:rsidR="00102729" w:rsidRDefault="00102729">
      <w:r>
        <w:separator/>
      </w:r>
    </w:p>
  </w:endnote>
  <w:endnote w:type="continuationSeparator" w:id="0">
    <w:p w14:paraId="62218BD3" w14:textId="77777777" w:rsidR="00102729" w:rsidRDefault="00102729">
      <w:r>
        <w:continuationSeparator/>
      </w:r>
    </w:p>
  </w:endnote>
  <w:endnote w:type="continuationNotice" w:id="1">
    <w:p w14:paraId="19F543F9" w14:textId="77777777" w:rsidR="00102729" w:rsidRDefault="00102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FB4E8" w14:textId="77777777" w:rsidR="00102729" w:rsidRDefault="00102729">
      <w:r>
        <w:separator/>
      </w:r>
    </w:p>
  </w:footnote>
  <w:footnote w:type="continuationSeparator" w:id="0">
    <w:p w14:paraId="69BC2459" w14:textId="77777777" w:rsidR="00102729" w:rsidRDefault="00102729">
      <w:r>
        <w:continuationSeparator/>
      </w:r>
    </w:p>
  </w:footnote>
  <w:footnote w:type="continuationNotice" w:id="1">
    <w:p w14:paraId="1F986B6C" w14:textId="77777777" w:rsidR="00102729" w:rsidRDefault="00102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5"/>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1"/>
  </w:num>
  <w:num w:numId="4" w16cid:durableId="406996002">
    <w:abstractNumId w:val="4"/>
  </w:num>
  <w:num w:numId="5" w16cid:durableId="1724862490">
    <w:abstractNumId w:val="2"/>
  </w:num>
  <w:num w:numId="6" w16cid:durableId="491528651">
    <w:abstractNumId w:val="6"/>
  </w:num>
  <w:num w:numId="7" w16cid:durableId="1307474171">
    <w:abstractNumId w:val="3"/>
  </w:num>
  <w:num w:numId="8" w16cid:durableId="1223179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9"/>
  </w:num>
  <w:num w:numId="10" w16cid:durableId="1541283173">
    <w:abstractNumId w:val="10"/>
  </w:num>
  <w:num w:numId="11" w16cid:durableId="1247575992">
    <w:abstractNumId w:val="1"/>
  </w:num>
  <w:num w:numId="12" w16cid:durableId="400101424">
    <w:abstractNumId w:val="7"/>
  </w:num>
  <w:num w:numId="13" w16cid:durableId="86934106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wFAANZGsY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0F4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27D"/>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5E30"/>
    <w:rsid w:val="00096259"/>
    <w:rsid w:val="000964C7"/>
    <w:rsid w:val="00096963"/>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303"/>
    <w:rsid w:val="000A45E6"/>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1BCB"/>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29"/>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48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309"/>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516"/>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CB"/>
    <w:rsid w:val="003D063F"/>
    <w:rsid w:val="003D09DF"/>
    <w:rsid w:val="003D0B25"/>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004"/>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1D"/>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47BE"/>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766"/>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4BA8"/>
    <w:rsid w:val="0048510A"/>
    <w:rsid w:val="0048525B"/>
    <w:rsid w:val="0048548F"/>
    <w:rsid w:val="00485638"/>
    <w:rsid w:val="00485910"/>
    <w:rsid w:val="00485F40"/>
    <w:rsid w:val="004863E1"/>
    <w:rsid w:val="0048649A"/>
    <w:rsid w:val="0048695E"/>
    <w:rsid w:val="00486C96"/>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200"/>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6BFF"/>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4BA"/>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1F"/>
    <w:rsid w:val="00574DAE"/>
    <w:rsid w:val="00574ED3"/>
    <w:rsid w:val="0057531C"/>
    <w:rsid w:val="00575520"/>
    <w:rsid w:val="0057561A"/>
    <w:rsid w:val="00576024"/>
    <w:rsid w:val="005762B1"/>
    <w:rsid w:val="00576326"/>
    <w:rsid w:val="005765CE"/>
    <w:rsid w:val="005766F0"/>
    <w:rsid w:val="00576BF4"/>
    <w:rsid w:val="0057710F"/>
    <w:rsid w:val="005805D0"/>
    <w:rsid w:val="00580D63"/>
    <w:rsid w:val="00580DDD"/>
    <w:rsid w:val="00580EEE"/>
    <w:rsid w:val="00581021"/>
    <w:rsid w:val="00581320"/>
    <w:rsid w:val="005818D3"/>
    <w:rsid w:val="00581A64"/>
    <w:rsid w:val="00581C68"/>
    <w:rsid w:val="00581C8F"/>
    <w:rsid w:val="00581F00"/>
    <w:rsid w:val="00581F2F"/>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764D"/>
    <w:rsid w:val="00587BB3"/>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6C44"/>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649"/>
    <w:rsid w:val="005A6A66"/>
    <w:rsid w:val="005A72AD"/>
    <w:rsid w:val="005A78C8"/>
    <w:rsid w:val="005A7A0B"/>
    <w:rsid w:val="005B00FA"/>
    <w:rsid w:val="005B026D"/>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2D"/>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306"/>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779"/>
    <w:rsid w:val="00655CA3"/>
    <w:rsid w:val="00656392"/>
    <w:rsid w:val="006566FF"/>
    <w:rsid w:val="00656ECC"/>
    <w:rsid w:val="00656EFC"/>
    <w:rsid w:val="0065741B"/>
    <w:rsid w:val="006577ED"/>
    <w:rsid w:val="0066019A"/>
    <w:rsid w:val="0066088D"/>
    <w:rsid w:val="00660E4D"/>
    <w:rsid w:val="00661F80"/>
    <w:rsid w:val="006624CF"/>
    <w:rsid w:val="006625E1"/>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4E2"/>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348"/>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1DA3"/>
    <w:rsid w:val="008024E7"/>
    <w:rsid w:val="008028DA"/>
    <w:rsid w:val="008034B8"/>
    <w:rsid w:val="00804B5C"/>
    <w:rsid w:val="00804E50"/>
    <w:rsid w:val="00805444"/>
    <w:rsid w:val="008054A8"/>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26B"/>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B96"/>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839"/>
    <w:rsid w:val="0096592C"/>
    <w:rsid w:val="00965D81"/>
    <w:rsid w:val="00965F11"/>
    <w:rsid w:val="00966240"/>
    <w:rsid w:val="009664CA"/>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6D8F"/>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6CD"/>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4E1"/>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6EE"/>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A89"/>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B4F"/>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34B9"/>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6C1"/>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A78"/>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D41"/>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1AE0"/>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8CB"/>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684"/>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1F6"/>
    <w:rsid w:val="00CF4710"/>
    <w:rsid w:val="00CF4F27"/>
    <w:rsid w:val="00CF5421"/>
    <w:rsid w:val="00CF5837"/>
    <w:rsid w:val="00CF609D"/>
    <w:rsid w:val="00CF6127"/>
    <w:rsid w:val="00CF62AC"/>
    <w:rsid w:val="00CF647C"/>
    <w:rsid w:val="00CF6B8B"/>
    <w:rsid w:val="00CF6DD9"/>
    <w:rsid w:val="00CF732A"/>
    <w:rsid w:val="00CF777F"/>
    <w:rsid w:val="00CF7B81"/>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49F"/>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5CBB"/>
    <w:rsid w:val="00D66509"/>
    <w:rsid w:val="00D667A6"/>
    <w:rsid w:val="00D66965"/>
    <w:rsid w:val="00D66D81"/>
    <w:rsid w:val="00D66D90"/>
    <w:rsid w:val="00D676C8"/>
    <w:rsid w:val="00D703F7"/>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6F66"/>
    <w:rsid w:val="00DC74D5"/>
    <w:rsid w:val="00DC75C2"/>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48E"/>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B98"/>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4A4"/>
    <w:rsid w:val="00ED57E7"/>
    <w:rsid w:val="00ED58E2"/>
    <w:rsid w:val="00ED64E7"/>
    <w:rsid w:val="00ED67F2"/>
    <w:rsid w:val="00ED6B26"/>
    <w:rsid w:val="00ED6C6D"/>
    <w:rsid w:val="00ED7C39"/>
    <w:rsid w:val="00EE028F"/>
    <w:rsid w:val="00EE0941"/>
    <w:rsid w:val="00EE0D1A"/>
    <w:rsid w:val="00EE0DC1"/>
    <w:rsid w:val="00EE0FC9"/>
    <w:rsid w:val="00EE114A"/>
    <w:rsid w:val="00EE1337"/>
    <w:rsid w:val="00EE1A36"/>
    <w:rsid w:val="00EE1ECD"/>
    <w:rsid w:val="00EE20C6"/>
    <w:rsid w:val="00EE2766"/>
    <w:rsid w:val="00EE2A9F"/>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5EE5"/>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1D1"/>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94C"/>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AA0"/>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7853592">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880469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1642</TotalTime>
  <Pages>3</Pages>
  <Words>1067</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132</cp:revision>
  <cp:lastPrinted>2010-11-10T21:00:00Z</cp:lastPrinted>
  <dcterms:created xsi:type="dcterms:W3CDTF">2024-08-02T14:41:00Z</dcterms:created>
  <dcterms:modified xsi:type="dcterms:W3CDTF">2024-10-06T13:22:00Z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